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BC7" w:rsidRDefault="00545BC7">
      <w:pPr>
        <w:pStyle w:val="ConsPlusTitle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0B70A8" w:rsidRDefault="000B70A8">
      <w:pPr>
        <w:pStyle w:val="ConsPlusTitle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0B70A8" w:rsidRPr="00D33BEE" w:rsidRDefault="000B70A8">
      <w:pPr>
        <w:pStyle w:val="ConsPlusTitle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FF289B" w:rsidRPr="00D33BEE" w:rsidRDefault="00FF289B">
      <w:pPr>
        <w:pStyle w:val="ConsPlusTitle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FF289B" w:rsidRPr="00D33BEE" w:rsidRDefault="00FF289B">
      <w:pPr>
        <w:pStyle w:val="ConsPlusTitle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FF289B" w:rsidRPr="00D33BEE" w:rsidRDefault="00FF289B">
      <w:pPr>
        <w:pStyle w:val="ConsPlusTitle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FF289B" w:rsidRPr="00D33BEE" w:rsidRDefault="00FF289B">
      <w:pPr>
        <w:pStyle w:val="ConsPlusTitle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FF289B" w:rsidRPr="00D33BEE" w:rsidRDefault="00FF289B">
      <w:pPr>
        <w:pStyle w:val="ConsPlusTitle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FF289B" w:rsidRPr="00D33BEE" w:rsidRDefault="00FF289B">
      <w:pPr>
        <w:pStyle w:val="ConsPlusTitle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FF289B" w:rsidRPr="00D33BEE" w:rsidRDefault="00FF289B">
      <w:pPr>
        <w:pStyle w:val="ConsPlusTitle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FF289B" w:rsidRPr="00D33BEE" w:rsidRDefault="00FF289B">
      <w:pPr>
        <w:pStyle w:val="ConsPlusTitle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FF289B" w:rsidRPr="00D33BEE" w:rsidRDefault="00FF289B">
      <w:pPr>
        <w:pStyle w:val="ConsPlusTitle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7521E0" w:rsidRPr="00D33BEE" w:rsidRDefault="007521E0">
      <w:pPr>
        <w:pStyle w:val="ConsPlusTitle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FF289B" w:rsidRPr="00D33BEE" w:rsidRDefault="00FF289B">
      <w:pPr>
        <w:pStyle w:val="ConsPlusTitle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D9530E" w:rsidRPr="00D33BEE" w:rsidRDefault="004C5F52" w:rsidP="004C5F52">
      <w:pPr>
        <w:pStyle w:val="ConsPlusTitle"/>
        <w:jc w:val="center"/>
        <w:rPr>
          <w:rFonts w:ascii="Liberation Serif" w:hAnsi="Liberation Serif" w:cs="Liberation Serif"/>
          <w:i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i/>
          <w:color w:val="000000" w:themeColor="text1"/>
          <w:sz w:val="28"/>
          <w:szCs w:val="28"/>
        </w:rPr>
        <w:t xml:space="preserve">Об утверждении </w:t>
      </w:r>
      <w:r w:rsidR="00FF289B" w:rsidRPr="00D33BEE">
        <w:rPr>
          <w:rFonts w:ascii="Liberation Serif" w:hAnsi="Liberation Serif" w:cs="Liberation Serif"/>
          <w:i/>
          <w:color w:val="000000" w:themeColor="text1"/>
          <w:sz w:val="28"/>
          <w:szCs w:val="28"/>
        </w:rPr>
        <w:t>П</w:t>
      </w:r>
      <w:r w:rsidRPr="00D33BEE">
        <w:rPr>
          <w:rFonts w:ascii="Liberation Serif" w:hAnsi="Liberation Serif" w:cs="Liberation Serif"/>
          <w:i/>
          <w:color w:val="000000" w:themeColor="text1"/>
          <w:sz w:val="28"/>
          <w:szCs w:val="28"/>
        </w:rPr>
        <w:t xml:space="preserve">оложения о составе, порядке подготовки </w:t>
      </w:r>
    </w:p>
    <w:p w:rsidR="00545BC7" w:rsidRPr="00D33BEE" w:rsidRDefault="004C5F52" w:rsidP="004C5F52">
      <w:pPr>
        <w:pStyle w:val="ConsPlusTitle"/>
        <w:jc w:val="center"/>
        <w:rPr>
          <w:rFonts w:ascii="Liberation Serif" w:hAnsi="Liberation Serif" w:cs="Liberation Serif"/>
          <w:i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i/>
          <w:color w:val="000000" w:themeColor="text1"/>
          <w:sz w:val="28"/>
          <w:szCs w:val="28"/>
        </w:rPr>
        <w:t xml:space="preserve">генерального плана </w:t>
      </w:r>
      <w:r w:rsidR="004378B7" w:rsidRPr="00D33BEE">
        <w:rPr>
          <w:rFonts w:ascii="Liberation Serif" w:hAnsi="Liberation Serif" w:cs="Liberation Serif"/>
          <w:i/>
          <w:color w:val="000000" w:themeColor="text1"/>
          <w:sz w:val="28"/>
          <w:szCs w:val="28"/>
        </w:rPr>
        <w:t>муниципального</w:t>
      </w:r>
      <w:r w:rsidRPr="00D33BEE">
        <w:rPr>
          <w:rFonts w:ascii="Liberation Serif" w:hAnsi="Liberation Serif" w:cs="Liberation Serif"/>
          <w:i/>
          <w:color w:val="000000" w:themeColor="text1"/>
          <w:sz w:val="28"/>
          <w:szCs w:val="28"/>
        </w:rPr>
        <w:t xml:space="preserve"> округа Сухой Лог, порядке подготовки изменений и внесения их в генеральный план </w:t>
      </w:r>
      <w:r w:rsidR="004378B7" w:rsidRPr="00D33BEE">
        <w:rPr>
          <w:rFonts w:ascii="Liberation Serif" w:hAnsi="Liberation Serif" w:cs="Liberation Serif"/>
          <w:i/>
          <w:color w:val="000000" w:themeColor="text1"/>
          <w:sz w:val="28"/>
          <w:szCs w:val="28"/>
        </w:rPr>
        <w:t>муниципального</w:t>
      </w:r>
      <w:r w:rsidRPr="00D33BEE">
        <w:rPr>
          <w:rFonts w:ascii="Liberation Serif" w:hAnsi="Liberation Serif" w:cs="Liberation Serif"/>
          <w:i/>
          <w:color w:val="000000" w:themeColor="text1"/>
          <w:sz w:val="28"/>
          <w:szCs w:val="28"/>
        </w:rPr>
        <w:t xml:space="preserve"> округа Сухой Лог</w:t>
      </w:r>
      <w:r w:rsidR="00FF289B" w:rsidRPr="00D33BEE">
        <w:rPr>
          <w:rFonts w:ascii="Liberation Serif" w:hAnsi="Liberation Serif" w:cs="Liberation Serif"/>
          <w:i/>
          <w:color w:val="000000" w:themeColor="text1"/>
          <w:sz w:val="28"/>
          <w:szCs w:val="28"/>
        </w:rPr>
        <w:t>,</w:t>
      </w:r>
      <w:r w:rsidR="00FF289B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FF289B" w:rsidRPr="00D33BEE">
        <w:rPr>
          <w:rFonts w:ascii="Liberation Serif" w:hAnsi="Liberation Serif" w:cs="Liberation Serif"/>
          <w:i/>
          <w:color w:val="000000" w:themeColor="text1"/>
          <w:sz w:val="28"/>
          <w:szCs w:val="28"/>
        </w:rPr>
        <w:t xml:space="preserve">а также о составе, порядке </w:t>
      </w:r>
      <w:proofErr w:type="gramStart"/>
      <w:r w:rsidR="00FF289B" w:rsidRPr="00D33BEE">
        <w:rPr>
          <w:rFonts w:ascii="Liberation Serif" w:hAnsi="Liberation Serif" w:cs="Liberation Serif"/>
          <w:i/>
          <w:color w:val="000000" w:themeColor="text1"/>
          <w:sz w:val="28"/>
          <w:szCs w:val="28"/>
        </w:rPr>
        <w:t xml:space="preserve">подготовки плана реализации генерального плана </w:t>
      </w:r>
      <w:r w:rsidR="004378B7" w:rsidRPr="00D33BEE">
        <w:rPr>
          <w:rFonts w:ascii="Liberation Serif" w:hAnsi="Liberation Serif" w:cs="Liberation Serif"/>
          <w:i/>
          <w:color w:val="000000" w:themeColor="text1"/>
          <w:sz w:val="28"/>
          <w:szCs w:val="28"/>
        </w:rPr>
        <w:t>муниципального</w:t>
      </w:r>
      <w:r w:rsidR="00FF289B" w:rsidRPr="00D33BEE">
        <w:rPr>
          <w:rFonts w:ascii="Liberation Serif" w:hAnsi="Liberation Serif" w:cs="Liberation Serif"/>
          <w:i/>
          <w:color w:val="000000" w:themeColor="text1"/>
          <w:sz w:val="28"/>
          <w:szCs w:val="28"/>
        </w:rPr>
        <w:t xml:space="preserve"> округа Сухой</w:t>
      </w:r>
      <w:proofErr w:type="gramEnd"/>
      <w:r w:rsidR="00FF289B" w:rsidRPr="00D33BEE">
        <w:rPr>
          <w:rFonts w:ascii="Liberation Serif" w:hAnsi="Liberation Serif" w:cs="Liberation Serif"/>
          <w:i/>
          <w:color w:val="000000" w:themeColor="text1"/>
          <w:sz w:val="28"/>
          <w:szCs w:val="28"/>
        </w:rPr>
        <w:t xml:space="preserve"> Лог</w:t>
      </w:r>
    </w:p>
    <w:p w:rsidR="00545BC7" w:rsidRPr="00D33BEE" w:rsidRDefault="00545BC7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4C5F52" w:rsidRPr="00D33BEE" w:rsidRDefault="00545BC7" w:rsidP="004C5F52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proofErr w:type="gramStart"/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В соответствии с</w:t>
      </w:r>
      <w:r w:rsidR="00FF289B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 </w:t>
      </w:r>
      <w:hyperlink r:id="rId7">
        <w:r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стать</w:t>
        </w:r>
        <w:r w:rsidR="00FF289B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ей</w:t>
        </w:r>
        <w:r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 xml:space="preserve"> 18</w:t>
        </w:r>
      </w:hyperlink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Градостроительного кодекса Российской Федерации, </w:t>
      </w:r>
      <w:hyperlink r:id="rId8">
        <w:r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статьей 16</w:t>
        </w:r>
      </w:hyperlink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Федерального закона от 06.10.2003 </w:t>
      </w:r>
      <w:r w:rsidR="00D9530E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№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131-ФЗ </w:t>
      </w:r>
      <w:r w:rsidR="00D9530E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«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9530E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»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</w:t>
      </w:r>
      <w:hyperlink r:id="rId9">
        <w:r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Законом</w:t>
        </w:r>
      </w:hyperlink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Свердловской области от 19.10.2007 </w:t>
      </w:r>
      <w:r w:rsidR="00D9530E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№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100-ОЗ </w:t>
      </w:r>
      <w:r w:rsidR="00D9530E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«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О документах территориального планирования муниципальных образований, расположенных на территории Свердловской области</w:t>
      </w:r>
      <w:r w:rsidR="00D9530E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»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руководствуясь </w:t>
      </w:r>
      <w:hyperlink r:id="rId10">
        <w:r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стать</w:t>
        </w:r>
        <w:r w:rsidR="00821ED5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ей</w:t>
        </w:r>
      </w:hyperlink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58078B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23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Устава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4C5F52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Сухой Лог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</w:t>
      </w:r>
      <w:r w:rsidR="0058078B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Дума</w:t>
      </w:r>
      <w:r w:rsidR="00FF289B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FF289B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Сухой Лог</w:t>
      </w:r>
      <w:proofErr w:type="gramEnd"/>
    </w:p>
    <w:p w:rsidR="00545BC7" w:rsidRPr="00D33BEE" w:rsidRDefault="0058078B" w:rsidP="004C5F52">
      <w:pPr>
        <w:pStyle w:val="ConsPlusNormal"/>
        <w:jc w:val="both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РЕШИЛА</w:t>
      </w:r>
      <w:r w:rsidR="00545BC7" w:rsidRPr="00D33BEE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:</w:t>
      </w:r>
    </w:p>
    <w:p w:rsidR="00545BC7" w:rsidRPr="00D33BEE" w:rsidRDefault="00545BC7" w:rsidP="004C5F52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1. Утвердить </w:t>
      </w:r>
      <w:hyperlink w:anchor="P36">
        <w:r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Положение</w:t>
        </w:r>
      </w:hyperlink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 составе, порядке подготовки генерального плана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</w:t>
      </w:r>
      <w:r w:rsidR="00E23781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Сухой Лог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порядке подготовки изменений и внесения их в генеральный план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</w:t>
      </w:r>
      <w:r w:rsidR="00E23781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Сухой Лог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а также о составе, порядке </w:t>
      </w:r>
      <w:proofErr w:type="gramStart"/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подготовки плана реализации генерального плана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</w:t>
      </w:r>
      <w:r w:rsidR="000643C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Сухой</w:t>
      </w:r>
      <w:proofErr w:type="gramEnd"/>
      <w:r w:rsidR="000643C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Лог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(прилагается).</w:t>
      </w:r>
    </w:p>
    <w:p w:rsidR="00545BC7" w:rsidRPr="00D33BEE" w:rsidRDefault="00545BC7" w:rsidP="004C5F52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2. Опубликовать настоящее </w:t>
      </w:r>
      <w:r w:rsidR="00E23781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п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остановление в газете </w:t>
      </w:r>
      <w:r w:rsidR="004C5F52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«</w:t>
      </w:r>
      <w:r w:rsidR="00E23781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Знамя Победы</w:t>
      </w:r>
      <w:r w:rsidR="004C5F52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»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 разместить на официальном сайте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E23781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</w:t>
      </w:r>
      <w:r w:rsidR="007521E0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Сухой Лог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p w:rsidR="00545BC7" w:rsidRPr="00D33BEE" w:rsidRDefault="00545BC7" w:rsidP="004C5F52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3. </w:t>
      </w:r>
      <w:r w:rsidR="0058078B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Контроль исполнения настоящего решения возложить на комиссию по землепользованию, городскому хозяйству и охране окружающей среды (Казанцева</w:t>
      </w:r>
      <w:r w:rsidR="000B70A8" w:rsidRPr="000B70A8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0B70A8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Ю.С.</w:t>
      </w:r>
      <w:r w:rsidR="0058078B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).</w:t>
      </w:r>
    </w:p>
    <w:p w:rsidR="0058078B" w:rsidRPr="000B70A8" w:rsidRDefault="0058078B" w:rsidP="0058078B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16"/>
          <w:szCs w:val="16"/>
        </w:rPr>
      </w:pPr>
    </w:p>
    <w:p w:rsidR="0058078B" w:rsidRPr="000B70A8" w:rsidRDefault="0058078B" w:rsidP="0058078B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16"/>
          <w:szCs w:val="16"/>
        </w:rPr>
      </w:pPr>
    </w:p>
    <w:p w:rsidR="004378B7" w:rsidRPr="00D33BEE" w:rsidRDefault="0058078B" w:rsidP="0058078B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Председатель </w:t>
      </w:r>
    </w:p>
    <w:p w:rsidR="0058078B" w:rsidRPr="00D33BEE" w:rsidRDefault="0058078B" w:rsidP="0058078B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Думы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ab/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ab/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ab/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ab/>
      </w:r>
      <w:r w:rsidR="000B70A8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     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Е.Г. Быков</w:t>
      </w:r>
    </w:p>
    <w:p w:rsidR="0058078B" w:rsidRPr="000B70A8" w:rsidRDefault="0058078B" w:rsidP="0058078B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16"/>
          <w:szCs w:val="16"/>
        </w:rPr>
      </w:pPr>
    </w:p>
    <w:p w:rsidR="0058078B" w:rsidRPr="00D33BEE" w:rsidRDefault="0058078B" w:rsidP="0058078B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4378B7" w:rsidRPr="00D33BEE" w:rsidRDefault="0058078B" w:rsidP="0058078B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Глава </w:t>
      </w:r>
    </w:p>
    <w:p w:rsidR="00545BC7" w:rsidRPr="00D33BEE" w:rsidRDefault="004378B7" w:rsidP="0058078B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58078B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</w:t>
      </w:r>
      <w:r w:rsidR="0058078B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ab/>
      </w:r>
      <w:r w:rsidR="0058078B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ab/>
      </w:r>
      <w:r w:rsidR="0058078B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ab/>
      </w:r>
      <w:r w:rsidR="0058078B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ab/>
        <w:t xml:space="preserve">                    Р.Р. </w:t>
      </w:r>
      <w:proofErr w:type="spellStart"/>
      <w:r w:rsidR="0058078B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Мингалимов</w:t>
      </w:r>
      <w:proofErr w:type="spellEnd"/>
    </w:p>
    <w:p w:rsidR="0058078B" w:rsidRPr="00D33BEE" w:rsidRDefault="0058078B" w:rsidP="000B70A8">
      <w:pPr>
        <w:tabs>
          <w:tab w:val="left" w:pos="7568"/>
        </w:tabs>
        <w:spacing w:after="0" w:line="240" w:lineRule="auto"/>
        <w:ind w:firstLine="5103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bookmarkStart w:id="0" w:name="P36"/>
      <w:bookmarkEnd w:id="0"/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lastRenderedPageBreak/>
        <w:t xml:space="preserve">Утверждено решением </w:t>
      </w:r>
    </w:p>
    <w:p w:rsidR="0058078B" w:rsidRPr="00D33BEE" w:rsidRDefault="0058078B" w:rsidP="000B70A8">
      <w:pPr>
        <w:widowControl w:val="0"/>
        <w:tabs>
          <w:tab w:val="left" w:pos="4536"/>
        </w:tabs>
        <w:suppressAutoHyphens/>
        <w:autoSpaceDE w:val="0"/>
        <w:autoSpaceDN w:val="0"/>
        <w:spacing w:after="0" w:line="240" w:lineRule="auto"/>
        <w:ind w:left="5103"/>
        <w:textAlignment w:val="baseline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Думы </w:t>
      </w:r>
      <w:r w:rsidR="004378B7"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муниципального</w:t>
      </w:r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округа</w:t>
      </w:r>
      <w:r w:rsidR="000B70A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Сухой Лог</w:t>
      </w:r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</w:p>
    <w:p w:rsidR="0058078B" w:rsidRPr="00D33BEE" w:rsidRDefault="0058078B" w:rsidP="0058078B">
      <w:pPr>
        <w:widowControl w:val="0"/>
        <w:tabs>
          <w:tab w:val="left" w:pos="4536"/>
        </w:tabs>
        <w:suppressAutoHyphens/>
        <w:autoSpaceDE w:val="0"/>
        <w:autoSpaceDN w:val="0"/>
        <w:spacing w:before="60" w:after="0" w:line="240" w:lineRule="auto"/>
        <w:ind w:left="5103"/>
        <w:textAlignment w:val="baseline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от____________№_________</w:t>
      </w:r>
    </w:p>
    <w:p w:rsidR="0001747F" w:rsidRPr="000B70A8" w:rsidRDefault="0001747F" w:rsidP="007521E0">
      <w:pPr>
        <w:pStyle w:val="ConsPlusTitle"/>
        <w:rPr>
          <w:rFonts w:ascii="Liberation Serif" w:hAnsi="Liberation Serif" w:cs="Liberation Serif"/>
          <w:color w:val="000000" w:themeColor="text1"/>
          <w:sz w:val="16"/>
          <w:szCs w:val="16"/>
        </w:rPr>
      </w:pPr>
    </w:p>
    <w:p w:rsidR="007521E0" w:rsidRPr="000B70A8" w:rsidRDefault="007521E0">
      <w:pPr>
        <w:pStyle w:val="ConsPlusTitle"/>
        <w:jc w:val="center"/>
        <w:rPr>
          <w:rFonts w:ascii="Liberation Serif" w:hAnsi="Liberation Serif" w:cs="Liberation Serif"/>
          <w:color w:val="000000" w:themeColor="text1"/>
          <w:sz w:val="16"/>
          <w:szCs w:val="16"/>
        </w:rPr>
      </w:pPr>
    </w:p>
    <w:p w:rsidR="007521E0" w:rsidRPr="000B70A8" w:rsidRDefault="007521E0">
      <w:pPr>
        <w:pStyle w:val="ConsPlusTitle"/>
        <w:jc w:val="center"/>
        <w:rPr>
          <w:rFonts w:ascii="Liberation Serif" w:hAnsi="Liberation Serif" w:cs="Liberation Serif"/>
          <w:color w:val="000000" w:themeColor="text1"/>
          <w:sz w:val="16"/>
          <w:szCs w:val="16"/>
        </w:rPr>
      </w:pPr>
    </w:p>
    <w:p w:rsidR="00545BC7" w:rsidRPr="00D33BEE" w:rsidRDefault="00545BC7">
      <w:pPr>
        <w:pStyle w:val="ConsPlusTitle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ПОЛОЖЕНИЕ</w:t>
      </w:r>
    </w:p>
    <w:p w:rsidR="00545BC7" w:rsidRPr="00D33BEE" w:rsidRDefault="0001747F" w:rsidP="0001747F">
      <w:pPr>
        <w:pStyle w:val="ConsPlusTitle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 составе, порядке подготовки генерального плана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Сухой Лог, порядке подготовки изменений и внесения их в генеральный план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Сухой Лог, а также о составе, порядке </w:t>
      </w:r>
      <w:proofErr w:type="gramStart"/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подготовки плана реализации генерального плана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</w:t>
      </w:r>
      <w:proofErr w:type="gramEnd"/>
    </w:p>
    <w:p w:rsidR="00545BC7" w:rsidRPr="00D33BEE" w:rsidRDefault="0001747F">
      <w:pPr>
        <w:pStyle w:val="ConsPlusTitle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Сухой Лог</w:t>
      </w:r>
    </w:p>
    <w:p w:rsidR="00545BC7" w:rsidRPr="000B70A8" w:rsidRDefault="00545BC7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16"/>
          <w:szCs w:val="16"/>
        </w:rPr>
      </w:pPr>
    </w:p>
    <w:p w:rsidR="00545BC7" w:rsidRPr="00D33BEE" w:rsidRDefault="00545BC7">
      <w:pPr>
        <w:pStyle w:val="ConsPlusTitle"/>
        <w:jc w:val="center"/>
        <w:outlineLvl w:val="1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1. О</w:t>
      </w:r>
      <w:r w:rsidR="0001747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бщие положения</w:t>
      </w:r>
    </w:p>
    <w:p w:rsidR="00545BC7" w:rsidRPr="000B70A8" w:rsidRDefault="00545BC7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16"/>
          <w:szCs w:val="16"/>
        </w:rPr>
      </w:pPr>
      <w:bookmarkStart w:id="1" w:name="_GoBack"/>
      <w:bookmarkEnd w:id="1"/>
    </w:p>
    <w:p w:rsidR="00545BC7" w:rsidRPr="00D33BEE" w:rsidRDefault="0001747F" w:rsidP="0001747F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1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  <w:proofErr w:type="gramStart"/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Настоящее Положение о составе, порядке подготовки генерального плана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</w:t>
      </w:r>
      <w:r w:rsidR="000643C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Сухой Лог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порядке подготовки изменений и внесения их в генеральный план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</w:t>
      </w:r>
      <w:r w:rsidR="000643C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Сухой Лог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а также о составе, порядке подготовки плана реализации генерального плана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</w:t>
      </w:r>
      <w:r w:rsidR="000643C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Сухой Лог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(далее - Положение) разработано в соответствии с Градостроительным </w:t>
      </w:r>
      <w:hyperlink r:id="rId11">
        <w:r w:rsidR="00545BC7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кодексом</w:t>
        </w:r>
      </w:hyperlink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Российской Федерации</w:t>
      </w:r>
      <w:r w:rsidR="00D750C2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, Федеральным законом от 06.10.2003 № 131-ФЗ «Об общих принципах организации местного самоуправления</w:t>
      </w:r>
      <w:proofErr w:type="gramEnd"/>
      <w:r w:rsidR="00D750C2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в Российской Федерации», </w:t>
      </w:r>
      <w:hyperlink r:id="rId12">
        <w:r w:rsidR="00D750C2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Законом</w:t>
        </w:r>
      </w:hyperlink>
      <w:r w:rsidR="00D750C2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Свердловской области от 19.10.2007 № 100-ОЗ «О документах территориального планирования муниципальных образований, расположенных на территории Свердловской области», Уставом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D750C2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Сухой Лог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p w:rsidR="00421E71" w:rsidRPr="00D33BEE" w:rsidRDefault="00545BC7" w:rsidP="0001747F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2. Положение определяет состав и порядок подготовки генерального плана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</w:t>
      </w:r>
      <w:r w:rsidR="000643C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Сухой Лог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, порядок подготовки и внесения в него изменений, а также состав, порядок подготовки плана его реализации.</w:t>
      </w:r>
    </w:p>
    <w:p w:rsidR="00545BC7" w:rsidRPr="00D33BEE" w:rsidRDefault="00545BC7" w:rsidP="000174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3. </w:t>
      </w:r>
      <w:proofErr w:type="gramStart"/>
      <w:r w:rsidR="00835B5D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Генеральный план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835B5D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Сухой Лог (далее - Генеральный план) является документом территориального планирования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835B5D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Сухой Лог, который направлен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на определение в документах территориального планирования назначения территорий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объединений, Российской Федерации, субъектов Российской Федерации</w:t>
      </w:r>
      <w:proofErr w:type="gramEnd"/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, муниципальных образований.</w:t>
      </w:r>
    </w:p>
    <w:p w:rsidR="00835B5D" w:rsidRPr="00D33BEE" w:rsidRDefault="00835B5D" w:rsidP="0001747F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4</w:t>
      </w:r>
      <w:r w:rsidR="0001747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Подготовка проекта генерального плана может осуществляться применительно к отдельным населенным пунктам, входящим в состав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Сухой Лог (далее -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муниципальный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округ), с последующим внесением в генеральный план изменений, относящихся к другим частям территории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Сухой Лог. Подготовка Генерального плана и внесение в него изменений в части установления или изменения границы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могут также осуществляться 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 xml:space="preserve">применительно к отдельным населенным пунктам, входящим в состав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округа.</w:t>
      </w:r>
    </w:p>
    <w:p w:rsidR="00835B5D" w:rsidRPr="00D33BEE" w:rsidRDefault="0001747F" w:rsidP="0001747F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5</w:t>
      </w:r>
      <w:r w:rsidR="00835B5D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  <w:proofErr w:type="gramStart"/>
      <w:r w:rsidR="00835B5D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Подготовку, организацию процесса согласования, проведения публичных слушаний, направления на рассмотрение в Думу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835B5D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проекта Генерального плана, а также обеспечение доступа к проекту Генерального плана и материалов по его обоснованию, к утвержденному Генеральному плану и материалам по его обоснованию в федеральной государственной информационной системе территориального планирования обеспечивает отдел архитектуры и градостроительства Администрации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835B5D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Сухой Лог - уполномоченное структурное подразделение, осуществляющее</w:t>
      </w:r>
      <w:proofErr w:type="gramEnd"/>
      <w:r w:rsidR="00835B5D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регулирование деятельности в области архитектуры и градостроительства на территории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835B5D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(далее - уполномоченный орган).</w:t>
      </w:r>
    </w:p>
    <w:p w:rsidR="00545BC7" w:rsidRPr="000B70A8" w:rsidRDefault="00545BC7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545BC7" w:rsidRPr="00D33BEE" w:rsidRDefault="00545BC7">
      <w:pPr>
        <w:pStyle w:val="ConsPlusTitle"/>
        <w:jc w:val="center"/>
        <w:outlineLvl w:val="1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2. С</w:t>
      </w:r>
      <w:r w:rsidR="00D245A8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остав документов территориального планирования</w:t>
      </w:r>
    </w:p>
    <w:p w:rsidR="00545BC7" w:rsidRPr="000B70A8" w:rsidRDefault="00545BC7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545BC7" w:rsidRPr="00D33BEE" w:rsidRDefault="0001747F" w:rsidP="0001747F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6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Документом </w:t>
      </w:r>
      <w:r w:rsidR="00545BC7" w:rsidRPr="000B70A8">
        <w:rPr>
          <w:rFonts w:ascii="Liberation Serif" w:hAnsi="Liberation Serif" w:cs="Liberation Serif"/>
          <w:color w:val="000000" w:themeColor="text1"/>
          <w:sz w:val="28"/>
          <w:szCs w:val="28"/>
        </w:rPr>
        <w:t>территориального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планирования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0643C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</w:t>
      </w:r>
      <w:r w:rsidR="00835B5D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является </w:t>
      </w:r>
      <w:r w:rsidR="00835B5D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Г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енеральный план.</w:t>
      </w:r>
    </w:p>
    <w:p w:rsidR="00070CE9" w:rsidRPr="00D33BEE" w:rsidRDefault="0001747F" w:rsidP="0001747F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7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  <w:r w:rsidR="00070CE9"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Генеральный план содержит:</w:t>
      </w:r>
    </w:p>
    <w:p w:rsidR="00070CE9" w:rsidRPr="00D33BEE" w:rsidRDefault="00070CE9" w:rsidP="0001747F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1)</w:t>
      </w:r>
      <w:r w:rsidRPr="00D33BEE">
        <w:rPr>
          <w:rFonts w:ascii="Liberation Serif" w:eastAsia="Times New Roman" w:hAnsi="Liberation Serif" w:cs="Liberation Serif"/>
          <w:color w:val="000000" w:themeColor="text1"/>
          <w:sz w:val="24"/>
          <w:szCs w:val="24"/>
          <w:lang w:eastAsia="ru-RU"/>
        </w:rPr>
        <w:t xml:space="preserve">     </w:t>
      </w:r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положение о территориальном планировании;</w:t>
      </w:r>
    </w:p>
    <w:p w:rsidR="00070CE9" w:rsidRPr="00D33BEE" w:rsidRDefault="00070CE9" w:rsidP="0001747F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bookmarkStart w:id="2" w:name="Par1026"/>
      <w:bookmarkEnd w:id="2"/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2) карты планируемого размещения объектов местного значения </w:t>
      </w:r>
      <w:r w:rsidR="004378B7"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муниципального</w:t>
      </w:r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округа;</w:t>
      </w:r>
    </w:p>
    <w:p w:rsidR="00070CE9" w:rsidRPr="00D33BEE" w:rsidRDefault="00070CE9" w:rsidP="0001747F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3) карты границ населенных пунктов, входящих в состав </w:t>
      </w:r>
      <w:r w:rsidR="004378B7"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муниципального</w:t>
      </w:r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округа;</w:t>
      </w:r>
    </w:p>
    <w:p w:rsidR="00070CE9" w:rsidRPr="00D33BEE" w:rsidRDefault="00070CE9" w:rsidP="0001747F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bookmarkStart w:id="3" w:name="Par1028"/>
      <w:bookmarkEnd w:id="3"/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4) карты функциональных зон </w:t>
      </w:r>
      <w:r w:rsidR="004378B7"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муниципального</w:t>
      </w:r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округа.</w:t>
      </w:r>
    </w:p>
    <w:p w:rsidR="00545BC7" w:rsidRPr="00D33BEE" w:rsidRDefault="0001747F" w:rsidP="0001747F">
      <w:pPr>
        <w:pStyle w:val="ConsPlusNormal"/>
        <w:ind w:firstLine="567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8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. Положение о территориальном планировании, содержащееся в Генеральном плане, включает в себя:</w:t>
      </w:r>
    </w:p>
    <w:p w:rsidR="00070CE9" w:rsidRPr="00D33BEE" w:rsidRDefault="00070CE9" w:rsidP="00070CE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proofErr w:type="gramStart"/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1) сведения о видах, назначении и наименованиях планируемых для размещения объектов местного значения </w:t>
      </w:r>
      <w:r w:rsidR="004378B7"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муниципального</w:t>
      </w:r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округа,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  <w:proofErr w:type="gramEnd"/>
    </w:p>
    <w:p w:rsidR="00070CE9" w:rsidRPr="00D33BEE" w:rsidRDefault="00070CE9" w:rsidP="00070CE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545BC7" w:rsidRPr="00D33BEE" w:rsidRDefault="0001747F" w:rsidP="0001747F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9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На указанных в </w:t>
      </w:r>
      <w:hyperlink w:anchor="P59">
        <w:r w:rsidR="00545BC7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подпунктах 2</w:t>
        </w:r>
      </w:hyperlink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- </w:t>
      </w:r>
      <w:hyperlink w:anchor="P65">
        <w:r w:rsidR="00070CE9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4</w:t>
        </w:r>
      </w:hyperlink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пункта 7 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настоящего Положения картах соответственно отображаются:</w:t>
      </w:r>
    </w:p>
    <w:p w:rsidR="00070CE9" w:rsidRPr="00D33BEE" w:rsidRDefault="00070CE9" w:rsidP="00070CE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1) планируемые для размещения объекты местного значения </w:t>
      </w:r>
      <w:r w:rsidR="004378B7"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муниципального</w:t>
      </w:r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округа, относящиеся к следующим областям:</w:t>
      </w:r>
    </w:p>
    <w:p w:rsidR="00070CE9" w:rsidRPr="00D33BEE" w:rsidRDefault="00070CE9" w:rsidP="00070CE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а) электро-, тепл</w:t>
      </w:r>
      <w:proofErr w:type="gramStart"/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о-</w:t>
      </w:r>
      <w:proofErr w:type="gramEnd"/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 газо- и водоснабжение населения, водоотведение;</w:t>
      </w:r>
    </w:p>
    <w:p w:rsidR="00070CE9" w:rsidRPr="00D33BEE" w:rsidRDefault="00070CE9" w:rsidP="00070CE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б) автомобильные дороги местного значения;</w:t>
      </w:r>
    </w:p>
    <w:p w:rsidR="00070CE9" w:rsidRPr="00D33BEE" w:rsidRDefault="00070CE9" w:rsidP="00070CE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в) физическая культура и массовый спорт, образование, здравоохранение, обработка, утилизация, обезвреживание, размещение твердых коммунальных отходов;</w:t>
      </w:r>
    </w:p>
    <w:p w:rsidR="00070CE9" w:rsidRPr="00D33BEE" w:rsidRDefault="00070CE9" w:rsidP="00070CE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lastRenderedPageBreak/>
        <w:t xml:space="preserve">г) иные области в связи с решением вопросов местного значения поселения, </w:t>
      </w:r>
      <w:r w:rsidR="004378B7"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муниципального</w:t>
      </w:r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округа;</w:t>
      </w:r>
    </w:p>
    <w:p w:rsidR="00070CE9" w:rsidRPr="00D33BEE" w:rsidRDefault="00070CE9" w:rsidP="00070CE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2) границы населенных пунктов, входящих в состав </w:t>
      </w:r>
      <w:r w:rsidR="004378B7"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муниципального</w:t>
      </w:r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округа;</w:t>
      </w:r>
    </w:p>
    <w:p w:rsidR="00070CE9" w:rsidRPr="00D33BEE" w:rsidRDefault="00070CE9" w:rsidP="00070CE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3) 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 (за исключением линейных объектов) и местоположения линейных объектов федерального значения, линейных объектов регионального значения, линейных объектов местного значения.</w:t>
      </w:r>
    </w:p>
    <w:p w:rsidR="00070CE9" w:rsidRPr="00D33BEE" w:rsidRDefault="00112070" w:rsidP="00070CE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10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  <w:r w:rsidR="00070CE9"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Обязательным приложением к </w:t>
      </w:r>
      <w:r w:rsidR="00F64002"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Г</w:t>
      </w:r>
      <w:r w:rsidR="00070CE9"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енеральному плану являются сведения о границах населенных пунктов, входящих в состав </w:t>
      </w:r>
      <w:r w:rsidR="004378B7"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муниципального</w:t>
      </w:r>
      <w:r w:rsidR="00070CE9" w:rsidRPr="00D33BE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округа, которые содержат графическое описание местоположения границ населенных пунктов, перечень координат характерных точек этих границ в системе координат, используемой для ведения Единого государственного реестра недвижимости. </w:t>
      </w:r>
    </w:p>
    <w:p w:rsidR="00545BC7" w:rsidRPr="00D33BEE" w:rsidRDefault="00112070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11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. К Генеральному плану прилагаются материалы по его обоснованию в текстовой форме и в виде карт.</w:t>
      </w:r>
    </w:p>
    <w:p w:rsidR="00545BC7" w:rsidRPr="00D33BEE" w:rsidRDefault="00112070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12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. Материалы по обоснованию Генерального плана в текстовой форме содержат:</w:t>
      </w:r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proofErr w:type="gramStart"/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1) </w:t>
      </w:r>
      <w:r w:rsidR="009E6430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сведения об утвержденных документах стратегического планирования, о национальных проектах, об инвестиционных программах субъектов естественных монополий, организаций коммунального комплекса, о решениях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;</w:t>
      </w:r>
      <w:proofErr w:type="gramEnd"/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2) о</w:t>
      </w:r>
      <w:r w:rsidR="009E6430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боснование выбранного </w:t>
      </w:r>
      <w:proofErr w:type="gramStart"/>
      <w:r w:rsidR="009E6430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варианта размещения объектов местного значения поселения</w:t>
      </w:r>
      <w:proofErr w:type="gramEnd"/>
      <w:r w:rsidR="009E6430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на основе анализа использования территории поселения, возможных направлений развития территории и прогнозируемых ограничений её использования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;</w:t>
      </w:r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3) </w:t>
      </w:r>
      <w:r w:rsidR="009E6430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оценку возможного влияния планируемых для размещения объектов местного значения поселения на комплексное развитие территории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;</w:t>
      </w:r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proofErr w:type="gramStart"/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4) </w:t>
      </w:r>
      <w:r w:rsidR="009E6430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утвержденные документами территориального планирования Российской Федерации, документами территориального планирования субъекта Российской Федерации сведения о видах, назначении и наименованиях планируемых для размещения на территории поселения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территорий, установление которых требуется в связи с размещением данных объектов, реквизиты указанных документов территориального планирования, а также обоснование выбранного</w:t>
      </w:r>
      <w:proofErr w:type="gramEnd"/>
      <w:r w:rsidR="009E6430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варианта размещения данных объектов на основе анализа использования территории поселения, возможных направлений развития территории и прогнозируемых ограничений её использования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;</w:t>
      </w:r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5) перечень и характеристику основных факторов риска возникновения чрезвычайных ситуаций природного и техногенного характера;</w:t>
      </w:r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 xml:space="preserve">6) </w:t>
      </w:r>
      <w:r w:rsidR="009E6430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перечень земельных участков, которые включаются в границы населенных пунктов и исключаются из их границ, с указанием категорий земель, к которым планируется отнести эти земельные участки, и целей их планируемого использования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p w:rsidR="00545BC7" w:rsidRPr="00D33BEE" w:rsidRDefault="00112070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13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. Материалы по обоснованию Генерального плана в виде карт отображают:</w:t>
      </w:r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1) </w:t>
      </w:r>
      <w:r w:rsidR="009E6430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границы населенных пунктов, существующих и строящихся объектов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;</w:t>
      </w:r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2) </w:t>
      </w:r>
      <w:r w:rsidR="009E6430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зоны с особыми условиями использования территорий, иные зоны и территории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;</w:t>
      </w:r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3) </w:t>
      </w:r>
      <w:r w:rsidR="009E6430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объекты культурного наследия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;</w:t>
      </w:r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4) </w:t>
      </w:r>
      <w:r w:rsidR="009E6430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территории, подверженные риску возникновения чрезвычайных ситуаций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p w:rsidR="00545BC7" w:rsidRPr="000B70A8" w:rsidRDefault="00545BC7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112070" w:rsidRPr="00D33BEE" w:rsidRDefault="00545BC7" w:rsidP="00112070">
      <w:pPr>
        <w:pStyle w:val="ConsPlusTitle"/>
        <w:jc w:val="center"/>
        <w:outlineLvl w:val="1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3. П</w:t>
      </w:r>
      <w:r w:rsidR="00112070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орядок подготовки Генерального плана </w:t>
      </w:r>
    </w:p>
    <w:p w:rsidR="00112070" w:rsidRPr="00D33BEE" w:rsidRDefault="00112070" w:rsidP="00112070">
      <w:pPr>
        <w:pStyle w:val="ConsPlusTitle"/>
        <w:jc w:val="center"/>
        <w:outlineLvl w:val="1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и внесения в него изменений </w:t>
      </w:r>
    </w:p>
    <w:p w:rsidR="00545BC7" w:rsidRPr="000B70A8" w:rsidRDefault="00545BC7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545BC7" w:rsidRPr="00D33BEE" w:rsidRDefault="00112070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14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Решение о подготовке проекта Генерального плана, а также решения о подготовке предложений о внесении в Генеральный план изменений принимаются </w:t>
      </w:r>
      <w:r w:rsidR="000366E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главой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DC111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p w:rsidR="00545BC7" w:rsidRPr="00D33BEE" w:rsidRDefault="00112070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15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В случае если для реализации решения о комплексном развитии территории требуется внесение изменений в Генеральный план, для подготовки предложений о внесении таких изменений принятия решения, указанного в </w:t>
      </w:r>
      <w:hyperlink w:anchor="P104">
        <w:r w:rsidR="00545BC7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пункте 3.2</w:t>
        </w:r>
      </w:hyperlink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настоящего раздела, не требуется. Такие изменения должны быть внесены в срок не </w:t>
      </w:r>
      <w:proofErr w:type="gramStart"/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позднее</w:t>
      </w:r>
      <w:proofErr w:type="gramEnd"/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чем девяносто дней со дня утверждения проекта планировки территории в целях ее комплексного развития.</w:t>
      </w:r>
    </w:p>
    <w:p w:rsidR="00545BC7" w:rsidRPr="00D33BEE" w:rsidRDefault="00112070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16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Подготовка проекта Генерального плана осуществляется в соответствии с требованиями </w:t>
      </w:r>
      <w:hyperlink r:id="rId13">
        <w:r w:rsidR="00545BC7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стат</w:t>
        </w:r>
        <w:r w:rsidR="0001747F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ей</w:t>
        </w:r>
        <w:r w:rsidR="00545BC7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 xml:space="preserve"> 9</w:t>
        </w:r>
      </w:hyperlink>
      <w:r w:rsidR="0001747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, 18, 24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Градостроительного кодекса Российской Федерации и с учетом региональных и местных нормативов градостроительного проектирования, заключения о результатах </w:t>
      </w:r>
      <w:r w:rsidR="00DB60B6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публичных слушаний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по проекту Генерального плана, а также с учетом предложений заинтересованных лиц.</w:t>
      </w:r>
    </w:p>
    <w:p w:rsidR="00545BC7" w:rsidRPr="00D33BEE" w:rsidRDefault="00112070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17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В границах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137AA1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могут быть определены территории вне границ населенных пунктов, применительно к которым не предполагается изменение их существующего использования и в отношении которых отсутствует необходимость подготовки Генерального плана.</w:t>
      </w:r>
    </w:p>
    <w:p w:rsidR="00545BC7" w:rsidRPr="00D33BEE" w:rsidRDefault="00112070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18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  <w:proofErr w:type="gramStart"/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 наличии на территории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137AA1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объектов культурного наследия в процессе подготовки Генерального плана в обязательном порядке учитываются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в соответствии с законодательством Российской Федерации об охране объектов культурного наследия и </w:t>
      </w:r>
      <w:hyperlink r:id="rId14">
        <w:r w:rsidR="00545BC7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статьей 27</w:t>
        </w:r>
      </w:hyperlink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Градостроительного кодекса Российской Федерации.</w:t>
      </w:r>
      <w:proofErr w:type="gramEnd"/>
    </w:p>
    <w:p w:rsidR="00112070" w:rsidRPr="00D33BEE" w:rsidRDefault="00112070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19. Уполномоченный орган организует осуществление действий, направленных на подготовку проекта генерального плана. Основные требования к оформлению и содержанию проекта </w:t>
      </w:r>
      <w:r w:rsidR="00D245A8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Г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енерального плана 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>должны содержаться в техническом задании, которое утверждается уполномоченным органом.</w:t>
      </w:r>
    </w:p>
    <w:p w:rsidR="00545BC7" w:rsidRPr="00D33BEE" w:rsidRDefault="008F3D95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20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Проект Генерального плана до его утверждения подлежит в соответствии со </w:t>
      </w:r>
      <w:hyperlink r:id="rId15">
        <w:r w:rsidR="00545BC7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статьей 25</w:t>
        </w:r>
      </w:hyperlink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Градостроительного кодекса Российской Федерации обязательному согласованию в порядке, установленном уполномоченным Правительством Российской Федерации федеральным органом исполнительной власти.</w:t>
      </w:r>
    </w:p>
    <w:p w:rsidR="00545BC7" w:rsidRPr="00D33BEE" w:rsidRDefault="00112070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2</w:t>
      </w:r>
      <w:r w:rsidR="008F3D95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1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. Заинтересованные лица вправе представить свои предложения по проекту Генерального плана.</w:t>
      </w:r>
    </w:p>
    <w:p w:rsidR="00545BC7" w:rsidRPr="00D33BEE" w:rsidRDefault="00112070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2</w:t>
      </w:r>
      <w:r w:rsidR="008F3D95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2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При подготовке Генерального плана в обязательном порядке организовываются и проводятся </w:t>
      </w:r>
      <w:r w:rsidR="00137AA1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публичные слушания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в соответствии со </w:t>
      </w:r>
      <w:hyperlink r:id="rId16">
        <w:r w:rsidR="00545BC7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статьями 5.1</w:t>
        </w:r>
      </w:hyperlink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 </w:t>
      </w:r>
      <w:hyperlink r:id="rId17">
        <w:r w:rsidR="00545BC7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28</w:t>
        </w:r>
      </w:hyperlink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Градостроительного кодекса Российской Федерации, </w:t>
      </w:r>
      <w:r w:rsidR="00C555B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Положением о публичных слушаниях в городском округе Сухой Лог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утвержденным </w:t>
      </w:r>
      <w:r w:rsidR="00D245A8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р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ешением Думы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C555B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от </w:t>
      </w:r>
      <w:r w:rsidR="00C555B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30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.0</w:t>
      </w:r>
      <w:r w:rsidR="00C555B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3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.202</w:t>
      </w:r>
      <w:r w:rsidR="00C555B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3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D9530E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№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C555B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63-РД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p w:rsidR="00545BC7" w:rsidRPr="00D33BEE" w:rsidRDefault="00112070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2</w:t>
      </w:r>
      <w:r w:rsidR="008F3D95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3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Протокол </w:t>
      </w:r>
      <w:r w:rsidR="00C555B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публичных слушаний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 заключение о результатах </w:t>
      </w:r>
      <w:r w:rsidR="00C555B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публичных слушаний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являются обязательным приложением к проекту Генерального плана, направляемому </w:t>
      </w:r>
      <w:r w:rsidR="000366E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главой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C555B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в Думу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C555B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p w:rsidR="00F64002" w:rsidRPr="00D33BEE" w:rsidRDefault="00112070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2</w:t>
      </w:r>
      <w:r w:rsidR="008F3D95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4</w:t>
      </w:r>
      <w:r w:rsidR="0001747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  <w:r w:rsidR="00F64002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Генеральный план, в том числе внесение в него изменений, утверждается решением Думы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F64002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округа.</w:t>
      </w:r>
    </w:p>
    <w:p w:rsidR="00545BC7" w:rsidRPr="00D33BEE" w:rsidRDefault="00112070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2</w:t>
      </w:r>
      <w:r w:rsidR="008F3D95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5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Дума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C555B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с учетом протокола </w:t>
      </w:r>
      <w:r w:rsidR="00C555B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публичных слушаний и заключения о результатах публичных слушаний 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принимает решение об утверждении Генерального плана или об отклонении проекта Генерального плана и о направлении его соответственно </w:t>
      </w:r>
      <w:r w:rsidR="000366E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главе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C555B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на доработку в соответствии с </w:t>
      </w:r>
      <w:proofErr w:type="gramStart"/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указанными</w:t>
      </w:r>
      <w:proofErr w:type="gramEnd"/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протоколом и заключением.</w:t>
      </w:r>
    </w:p>
    <w:p w:rsidR="00545BC7" w:rsidRPr="00D33BEE" w:rsidRDefault="00112070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2</w:t>
      </w:r>
      <w:r w:rsidR="008F3D95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6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. Правообладатели земельных участков и объектов капитального строительства, если их права и законные интересы нарушаются или могут быть нарушены в результате утверждения Генерального плана, вправе оспорить Генеральный план в судебном порядке.</w:t>
      </w:r>
    </w:p>
    <w:p w:rsidR="00545BC7" w:rsidRPr="00D33BEE" w:rsidRDefault="00112070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2</w:t>
      </w:r>
      <w:r w:rsidR="008F3D95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7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Органы государственной власти Российской Федерации, органы государственной власти субъектов Российской Федерации, органы местного самоуправления, заинтересованные физические и юридические лица вправе обращаться к главе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0366E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с предложениями о внесении изменений в Генеральный план.</w:t>
      </w:r>
    </w:p>
    <w:p w:rsidR="00545BC7" w:rsidRPr="00D33BEE" w:rsidRDefault="00112070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2</w:t>
      </w:r>
      <w:r w:rsidR="008F3D95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8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Внесение изменений в Генеральный план осуществляется в соответствии со </w:t>
      </w:r>
      <w:hyperlink r:id="rId18">
        <w:r w:rsidR="00545BC7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статьями 9</w:t>
        </w:r>
      </w:hyperlink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</w:t>
      </w:r>
      <w:hyperlink r:id="rId19">
        <w:r w:rsidR="00545BC7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24</w:t>
        </w:r>
      </w:hyperlink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 </w:t>
      </w:r>
      <w:hyperlink r:id="rId20">
        <w:r w:rsidR="00545BC7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25</w:t>
        </w:r>
      </w:hyperlink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Градостроительного кодекса Российской Федерации.</w:t>
      </w:r>
    </w:p>
    <w:p w:rsidR="00545BC7" w:rsidRPr="00D33BEE" w:rsidRDefault="00112070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2</w:t>
      </w:r>
      <w:r w:rsidR="008F3D95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9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. Внесение в Генеральный план изменений, предусматривающих изменение границ населенных пунктов в целях жилищного строительства или определения зон рекреационного назначения, осуществляется без проведения общественных обсуждений.</w:t>
      </w:r>
    </w:p>
    <w:p w:rsidR="00545BC7" w:rsidRPr="00D33BEE" w:rsidRDefault="008F3D95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30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При подготовке Генерального плана и при внесении в него изменений не допускается включать в него положения о территориальном планировании, реализация которых приведет к невозможности обеспечения 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>эксплуатации существующих или планируемых для размещения объектов федерального значения.</w:t>
      </w:r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3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1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  <w:proofErr w:type="gramStart"/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Подготовка Генерального плана осуществляется на основании стратегий (программ) социально-экономического развития округа, развития отдельных отраслей экономики, программ социально-экономического развития Свердловской области, приоритетных национальных проектов, межгосударственных программ, принятых в установленном порядке и реализуемых за счет средств федерального бюджета, областного бюджета, местного бюджета, решений органов государственной власти, органов местного самоуправления, иных главных распорядителей средств соответствующих бюджетов, предусматривающих создание объектов федерального значения, объектов регионального</w:t>
      </w:r>
      <w:proofErr w:type="gramEnd"/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значения, объектов местного значения, инвестиционных программ субъектов естественных монополий, организаций коммунального комплекса.</w:t>
      </w:r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3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2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. Подготовка Генерального плана осуществляется с учетом положений о территориальном планировании, содержащихся в документах территориального планирования Российской Федерации, документах территориального планирования Свердловской области, документах территориального планирования муниципальных образований, а также с учетом предложений заинтересованных лиц.</w:t>
      </w:r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3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3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. Генеральный план утверждается на срок не менее чем двадцать лет.</w:t>
      </w:r>
    </w:p>
    <w:p w:rsidR="00545BC7" w:rsidRPr="00D33BEE" w:rsidRDefault="0001747F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3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4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  <w:r w:rsidR="00F64002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Уполномоченный орган</w:t>
      </w:r>
      <w:r w:rsidR="000366E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F64002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обязан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обеспечить доступ к проекту Генерального плана и материалам по обоснованию такого проекта в Федеральной государственной системе территориального планирования (далее - ФГИС ТП), не менее чем за три месяца до их утверждения.</w:t>
      </w:r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3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5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  <w:proofErr w:type="gramStart"/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Требования к описанию и отображению в Генеральном плане объектов федерального значения, объектов регионального значения, объектов местного значения устанавливаются </w:t>
      </w:r>
      <w:hyperlink r:id="rId21">
        <w:r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Приказом</w:t>
        </w:r>
      </w:hyperlink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Минэкономразвития России от 09.01.2018 </w:t>
      </w:r>
      <w:r w:rsidR="00D9530E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№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10 </w:t>
      </w:r>
      <w:r w:rsidR="000366E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«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</w:t>
      </w:r>
      <w:r w:rsidR="00D9530E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№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793</w:t>
      </w:r>
      <w:r w:rsidR="000366E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»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  <w:proofErr w:type="gramEnd"/>
    </w:p>
    <w:p w:rsidR="00545BC7" w:rsidRPr="000B70A8" w:rsidRDefault="00545BC7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545BC7" w:rsidRPr="00D33BEE" w:rsidRDefault="00545BC7">
      <w:pPr>
        <w:pStyle w:val="ConsPlusTitle"/>
        <w:jc w:val="center"/>
        <w:outlineLvl w:val="1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4. П</w:t>
      </w:r>
      <w:r w:rsidR="008F3D95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орядок согласования Генерального плана</w:t>
      </w:r>
    </w:p>
    <w:p w:rsidR="00545BC7" w:rsidRPr="000B70A8" w:rsidRDefault="00545BC7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545BC7" w:rsidRPr="00D33BEE" w:rsidRDefault="008F3D95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3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6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Проект Генерального плана подлежит согласованию с Министерством экономического развития России в случаях, указанных в </w:t>
      </w:r>
      <w:hyperlink r:id="rId22">
        <w:r w:rsidR="00545BC7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части 1 статьи 25</w:t>
        </w:r>
      </w:hyperlink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Градостроительного кодекса Российской Федерации.</w:t>
      </w:r>
    </w:p>
    <w:p w:rsidR="00545BC7" w:rsidRPr="00D33BEE" w:rsidRDefault="008F3D95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3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7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Проект Генерального плана подлежит согласованию с Правительством Свердловской области, в границах которого находится </w:t>
      </w:r>
      <w:r w:rsidR="000366E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городской округ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в случаях, указанных в </w:t>
      </w:r>
      <w:hyperlink r:id="rId23">
        <w:r w:rsidR="00545BC7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части 2 статьи 25</w:t>
        </w:r>
      </w:hyperlink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Градостроительного кодекса Российской Федерации.</w:t>
      </w:r>
    </w:p>
    <w:p w:rsidR="00545BC7" w:rsidRPr="00D33BEE" w:rsidRDefault="00D245A8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3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8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Проект Генерального плана подлежит согласованию с администрациями: </w:t>
      </w:r>
      <w:proofErr w:type="gramStart"/>
      <w:r w:rsidR="000D0E2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Артемовского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0D0E2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</w:t>
      </w:r>
      <w:r w:rsidR="00D33BEE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 округа</w:t>
      </w:r>
      <w:r w:rsidR="00D33BEE" w:rsidRPr="00D33BE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proofErr w:type="spellStart"/>
      <w:r w:rsidR="000D0E2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Ирбитского</w:t>
      </w:r>
      <w:proofErr w:type="spellEnd"/>
      <w:r w:rsidR="000D0E2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муниципального образования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</w:t>
      </w:r>
      <w:proofErr w:type="spellStart"/>
      <w:r w:rsidR="000D0E2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Камышловского</w:t>
      </w:r>
      <w:proofErr w:type="spellEnd"/>
      <w:r w:rsidR="000D0E2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0D0E2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>муниципального района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0D0E2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Богданович, </w:t>
      </w:r>
      <w:proofErr w:type="spellStart"/>
      <w:r w:rsidR="000D0E2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Асбестовского</w:t>
      </w:r>
      <w:proofErr w:type="spellEnd"/>
      <w:r w:rsidR="000D0E2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0D0E2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округа, </w:t>
      </w:r>
      <w:r w:rsidR="00790D6F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городского</w:t>
      </w:r>
      <w:r w:rsidR="000D0E2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</w:t>
      </w:r>
      <w:proofErr w:type="spellStart"/>
      <w:r w:rsidR="000D0E2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Рефтинский</w:t>
      </w:r>
      <w:proofErr w:type="spellEnd"/>
      <w:r w:rsidR="000D0E2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имеющих общую границу с </w:t>
      </w:r>
      <w:r w:rsidR="000D0E2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городским округом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в целях соблюдения интересов населения муниципальных образований при установлении на их территориях зон с особыми условиями использования территорий в связи с планируемым размещением объектов местного значения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0D0E2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, которые могут оказать негативное воздействие на</w:t>
      </w:r>
      <w:proofErr w:type="gramEnd"/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окружающую среду на территориях таких муниципальных образований.</w:t>
      </w:r>
    </w:p>
    <w:p w:rsidR="00545BC7" w:rsidRPr="00D33BEE" w:rsidRDefault="004378B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0B70A8">
        <w:rPr>
          <w:rFonts w:ascii="Liberation Serif" w:hAnsi="Liberation Serif" w:cs="Liberation Serif"/>
          <w:color w:val="000000" w:themeColor="text1"/>
          <w:sz w:val="28"/>
          <w:szCs w:val="28"/>
        </w:rPr>
        <w:t>39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В случаях, предусмотренных </w:t>
      </w:r>
      <w:hyperlink r:id="rId24">
        <w:r w:rsidR="00545BC7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част</w:t>
        </w:r>
        <w:r w:rsidR="00124E59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ью</w:t>
        </w:r>
        <w:r w:rsidR="00545BC7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 xml:space="preserve"> 1</w:t>
        </w:r>
      </w:hyperlink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hyperlink r:id="rId25">
        <w:r w:rsidR="00545BC7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статьи 25</w:t>
        </w:r>
      </w:hyperlink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Градостроительного кодекса Российской Федерации, проект Генерального плана подлежит согласованию </w:t>
      </w:r>
      <w:r w:rsidR="00124E59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с уполномоченным Правительством Российской Федерации федеральным органом исполнительной власти, с высшим исполнительным органом субъекта Российской Федерации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p w:rsidR="00F14AB8" w:rsidRPr="00D33BEE" w:rsidRDefault="008F3D95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4</w:t>
      </w:r>
      <w:r w:rsidR="00D33BEE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0</w:t>
      </w:r>
      <w:r w:rsidR="00F14AB8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В случаях, предусмотренных </w:t>
      </w:r>
      <w:hyperlink r:id="rId26">
        <w:r w:rsidR="00F14AB8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частью 2 статьи 25</w:t>
        </w:r>
      </w:hyperlink>
      <w:r w:rsidR="00F14AB8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Градостроительного кодекса Российской Федерации, проект Генерального плана подлежит согласованию с высшим исполнительным органом субъекта Российской Федерации.</w:t>
      </w:r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4</w:t>
      </w:r>
      <w:r w:rsidR="00D33BEE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1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  <w:proofErr w:type="gramStart"/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Иные вопросы, кроме указанных в </w:t>
      </w:r>
      <w:hyperlink r:id="rId27">
        <w:r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частях 1</w:t>
        </w:r>
      </w:hyperlink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- </w:t>
      </w:r>
      <w:hyperlink r:id="rId28">
        <w:r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4.1</w:t>
        </w:r>
        <w:r w:rsidR="00F14AB8"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.</w:t>
        </w:r>
        <w:r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 xml:space="preserve"> статьи 25</w:t>
        </w:r>
      </w:hyperlink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Градостроительного кодекса Российской Федерации вопрос</w:t>
      </w:r>
      <w:r w:rsidR="00F14AB8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ы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, не могут рассматриваться при согласовании проекта Генерального плана.</w:t>
      </w:r>
      <w:proofErr w:type="gramEnd"/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4</w:t>
      </w:r>
      <w:r w:rsidR="00D33BEE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2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После истечения срока, установленного </w:t>
      </w:r>
      <w:hyperlink r:id="rId29">
        <w:r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частью 7 статьи 25</w:t>
        </w:r>
      </w:hyperlink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Градостроительного кодекса Российской Федерации для согласования проекта Генерального плана, подготовка заключений на данный проект не осуществляется, он считается согласованным с органами, указанными в </w:t>
      </w:r>
      <w:hyperlink r:id="rId30">
        <w:r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части 7 статьи 25</w:t>
        </w:r>
      </w:hyperlink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Градостроительного кодекса Российской Федерации.</w:t>
      </w:r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4</w:t>
      </w:r>
      <w:r w:rsidR="00D33BEE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3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Заключения на проект Генерального плана могут содержать положения о согласии с таким проектом или несогласии с таким проектом с обоснованием причин такого решения. </w:t>
      </w:r>
      <w:proofErr w:type="gramStart"/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 случае поступления от одного или нескольких указанных в </w:t>
      </w:r>
      <w:hyperlink r:id="rId31">
        <w:r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части 7 статьи 25</w:t>
        </w:r>
      </w:hyperlink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Градостроительного кодекса Российской Федерации органов заключений, содержащих положения о несогласии с проектом Генерального плана с обоснованием принятого решения, глава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F14AB8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в течение пятнадцати дней со дня истечения установленного срока согласования проекта Генерального плана принимает решение о создании согласительной комиссии.</w:t>
      </w:r>
      <w:proofErr w:type="gramEnd"/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Максимальный срок работы согласительной комиссии не может превышать два месяца.</w:t>
      </w:r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bookmarkStart w:id="4" w:name="P140"/>
      <w:bookmarkEnd w:id="4"/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4</w:t>
      </w:r>
      <w:r w:rsidR="00D33BEE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4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По результатам работы согласительная комиссия представляет главе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F14AB8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:</w:t>
      </w:r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1) документ о согласовании проекта Генерального плана и подготовленный для утверждения проект Генерального плана с внесенными в него изменениями;</w:t>
      </w:r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2) материалы в текстовой форме и в виде карт по несогласованным вопросам.</w:t>
      </w:r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4</w:t>
      </w:r>
      <w:r w:rsidR="00D33BEE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5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Указанные в </w:t>
      </w:r>
      <w:hyperlink w:anchor="P140">
        <w:r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пункте 4.8</w:t>
        </w:r>
      </w:hyperlink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настоящего Положения документы и материалы могут содержать:</w:t>
      </w:r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proofErr w:type="gramStart"/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1) предложения об исключении из проекта Генерального плана материалов по несогласованным вопросам (в том числе путем их 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>отображения на соответствующей карте в целях фиксации несогласованных вопросов до момента их согласования);</w:t>
      </w:r>
      <w:proofErr w:type="gramEnd"/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2) план согласования указанных в </w:t>
      </w:r>
      <w:hyperlink r:id="rId32">
        <w:r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пункте 1 статьи 25</w:t>
        </w:r>
      </w:hyperlink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Градостроительного кодекса Российской Федерации вопросов после утверждения Генерального плана путем подготовки предложений о внесении в такой </w:t>
      </w:r>
      <w:r w:rsidR="00D245A8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Г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енеральный план соответствующих изменений.</w:t>
      </w:r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4</w:t>
      </w:r>
      <w:r w:rsidR="00D33BEE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6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На основании документов и материалов, представленных согласительной комиссией, глава </w:t>
      </w:r>
      <w:r w:rsidR="00D245A8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Администрации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F14AB8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вправе принять решение о направлении согласованного или не согласованного в определенной части проекта Генерального плана в Думу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F14AB8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или об отклонении такого проекта и о направлении его на доработку.</w:t>
      </w:r>
    </w:p>
    <w:p w:rsidR="00545BC7" w:rsidRPr="00D33BEE" w:rsidRDefault="00545BC7" w:rsidP="00D245A8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4</w:t>
      </w:r>
      <w:r w:rsidR="00D33BEE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7</w:t>
      </w: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Согласование проекта Генерального плана в случае, предусмотренном </w:t>
      </w:r>
      <w:hyperlink r:id="rId33">
        <w:r w:rsidRPr="00D33BE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пунктом 2 части 1 статьи 25</w:t>
        </w:r>
      </w:hyperlink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Градостроительного кодекса Российской Федерации, не лишает заинтересованное лицо права на оспаривание в судебном порядке законности возникновения прав на земельные участки, которые включены в границы населенного пункта в соответствии с указанным Генеральным планом.</w:t>
      </w:r>
    </w:p>
    <w:p w:rsidR="00545BC7" w:rsidRPr="000B70A8" w:rsidRDefault="00545BC7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545BC7" w:rsidRPr="00D33BEE" w:rsidRDefault="00545BC7">
      <w:pPr>
        <w:pStyle w:val="ConsPlusTitle"/>
        <w:jc w:val="center"/>
        <w:outlineLvl w:val="1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5. Р</w:t>
      </w:r>
      <w:r w:rsidR="00D245A8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еализация Генерального плана</w:t>
      </w:r>
    </w:p>
    <w:p w:rsidR="00545BC7" w:rsidRPr="000B70A8" w:rsidRDefault="00545BC7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545BC7" w:rsidRPr="00D33BEE" w:rsidRDefault="00FF289B" w:rsidP="007521E0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4</w:t>
      </w:r>
      <w:r w:rsidR="00D33BEE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8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. Реализация Генерального плана осуществляется путем:</w:t>
      </w:r>
    </w:p>
    <w:p w:rsidR="00545BC7" w:rsidRPr="00D33BEE" w:rsidRDefault="00545BC7" w:rsidP="007521E0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1) подготовки и утверждения документации по планировке территории в соответствии с документами территориального планирования;</w:t>
      </w:r>
    </w:p>
    <w:p w:rsidR="00545BC7" w:rsidRPr="00D33BEE" w:rsidRDefault="00545BC7" w:rsidP="007521E0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2) принятия в порядке, установленном законодательством Российской Федерации, решений о резервировании земель, об изъятии земельных участков для государственных или муниципальных нужд, о переводе земель или земельных участков из одной категории в другую;</w:t>
      </w:r>
    </w:p>
    <w:p w:rsidR="00545BC7" w:rsidRPr="00D33BEE" w:rsidRDefault="00545BC7" w:rsidP="007521E0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3) создания объектов федерального значения, объектов регионального значения, объектов местного значения на основании документации по планировке территории.</w:t>
      </w:r>
    </w:p>
    <w:p w:rsidR="00CD14BC" w:rsidRPr="00D33BEE" w:rsidRDefault="00D33BEE" w:rsidP="00D33BEE">
      <w:pPr>
        <w:pStyle w:val="ConsPlusNormal"/>
        <w:ind w:firstLine="54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49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  <w:proofErr w:type="gramStart"/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Реализация Генерального плана осуществляется путем выполнения мероприятий, которые предусмотрены программами, утвержденными </w:t>
      </w:r>
      <w:r w:rsidR="00EB4F39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А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дминистрацией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EB4F39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Сухой Лог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 реализуемыми за счет средств местного бюджета, или нормативными правовыми актами </w:t>
      </w:r>
      <w:r w:rsidR="00EB4F39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А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дминистрации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EB4F39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Сухой Лог 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или в установленном </w:t>
      </w:r>
      <w:r w:rsidR="00EB4F39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А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дминистрацией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EB4F39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Сухой Лог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порядке решениями главных распорядителей средств местного бюджета, программой комплексного развития систем коммунальной инфраструктуры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EB4F39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Сухой Лог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, программой комплексного развития</w:t>
      </w:r>
      <w:proofErr w:type="gramEnd"/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транспортной инфраструктуры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EB4F39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Сухой Лог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программой комплексного развития социальной инфраструктуры </w:t>
      </w:r>
      <w:r w:rsidR="004378B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</w:t>
      </w:r>
      <w:r w:rsidR="000643CC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>Сухой Лог</w:t>
      </w:r>
      <w:r w:rsidR="00545BC7" w:rsidRPr="00D33BE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 (при наличии) инвестиционными программами организаций коммунального комплекса.</w:t>
      </w:r>
    </w:p>
    <w:sectPr w:rsidR="00CD14BC" w:rsidRPr="00D33BEE" w:rsidSect="007521E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623" w:rsidRDefault="00093623" w:rsidP="007521E0">
      <w:pPr>
        <w:spacing w:after="0" w:line="240" w:lineRule="auto"/>
      </w:pPr>
      <w:r>
        <w:separator/>
      </w:r>
    </w:p>
  </w:endnote>
  <w:endnote w:type="continuationSeparator" w:id="0">
    <w:p w:rsidR="00093623" w:rsidRDefault="00093623" w:rsidP="00752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623" w:rsidRDefault="00093623" w:rsidP="007521E0">
      <w:pPr>
        <w:spacing w:after="0" w:line="240" w:lineRule="auto"/>
      </w:pPr>
      <w:r>
        <w:separator/>
      </w:r>
    </w:p>
  </w:footnote>
  <w:footnote w:type="continuationSeparator" w:id="0">
    <w:p w:rsidR="00093623" w:rsidRDefault="00093623" w:rsidP="007521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C7"/>
    <w:rsid w:val="0001747F"/>
    <w:rsid w:val="000366EF"/>
    <w:rsid w:val="000643CC"/>
    <w:rsid w:val="00070CE9"/>
    <w:rsid w:val="00093623"/>
    <w:rsid w:val="000B70A8"/>
    <w:rsid w:val="000D0E2C"/>
    <w:rsid w:val="00112070"/>
    <w:rsid w:val="00124E59"/>
    <w:rsid w:val="00137AA1"/>
    <w:rsid w:val="002E5537"/>
    <w:rsid w:val="00346A70"/>
    <w:rsid w:val="00421E71"/>
    <w:rsid w:val="004378B7"/>
    <w:rsid w:val="004C5F52"/>
    <w:rsid w:val="00545BC7"/>
    <w:rsid w:val="0058078B"/>
    <w:rsid w:val="007521E0"/>
    <w:rsid w:val="00790D6F"/>
    <w:rsid w:val="00821ED5"/>
    <w:rsid w:val="00835B5D"/>
    <w:rsid w:val="00841039"/>
    <w:rsid w:val="00882C03"/>
    <w:rsid w:val="008F3D95"/>
    <w:rsid w:val="009E6430"/>
    <w:rsid w:val="00AD2E48"/>
    <w:rsid w:val="00B802F8"/>
    <w:rsid w:val="00BD641E"/>
    <w:rsid w:val="00C236D0"/>
    <w:rsid w:val="00C555BF"/>
    <w:rsid w:val="00CD14BC"/>
    <w:rsid w:val="00D245A8"/>
    <w:rsid w:val="00D33BEE"/>
    <w:rsid w:val="00D750C2"/>
    <w:rsid w:val="00D9530E"/>
    <w:rsid w:val="00DB60B6"/>
    <w:rsid w:val="00DC111F"/>
    <w:rsid w:val="00DC388A"/>
    <w:rsid w:val="00E23781"/>
    <w:rsid w:val="00EB4F39"/>
    <w:rsid w:val="00EB7262"/>
    <w:rsid w:val="00F14AB8"/>
    <w:rsid w:val="00F64002"/>
    <w:rsid w:val="00FF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5B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45B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45B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752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21E0"/>
  </w:style>
  <w:style w:type="paragraph" w:styleId="a5">
    <w:name w:val="footer"/>
    <w:basedOn w:val="a"/>
    <w:link w:val="a6"/>
    <w:uiPriority w:val="99"/>
    <w:unhideWhenUsed/>
    <w:rsid w:val="00752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21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5B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45B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45B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752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21E0"/>
  </w:style>
  <w:style w:type="paragraph" w:styleId="a5">
    <w:name w:val="footer"/>
    <w:basedOn w:val="a"/>
    <w:link w:val="a6"/>
    <w:uiPriority w:val="99"/>
    <w:unhideWhenUsed/>
    <w:rsid w:val="00752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2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4&amp;dst=101356" TargetMode="External"/><Relationship Id="rId13" Type="http://schemas.openxmlformats.org/officeDocument/2006/relationships/hyperlink" Target="https://login.consultant.ru/link/?req=doc&amp;base=LAW&amp;n=471026&amp;dst=101516" TargetMode="External"/><Relationship Id="rId18" Type="http://schemas.openxmlformats.org/officeDocument/2006/relationships/hyperlink" Target="https://login.consultant.ru/link/?req=doc&amp;base=LAW&amp;n=471026&amp;dst=101516" TargetMode="External"/><Relationship Id="rId26" Type="http://schemas.openxmlformats.org/officeDocument/2006/relationships/hyperlink" Target="https://login.consultant.ru/link/?req=doc&amp;base=LAW&amp;n=471026&amp;dst=230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87114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71026&amp;dst=100265" TargetMode="External"/><Relationship Id="rId12" Type="http://schemas.openxmlformats.org/officeDocument/2006/relationships/hyperlink" Target="https://login.consultant.ru/link/?req=doc&amp;base=RLAW071&amp;n=383194" TargetMode="External"/><Relationship Id="rId17" Type="http://schemas.openxmlformats.org/officeDocument/2006/relationships/hyperlink" Target="https://login.consultant.ru/link/?req=doc&amp;base=LAW&amp;n=471026&amp;dst=2175" TargetMode="External"/><Relationship Id="rId25" Type="http://schemas.openxmlformats.org/officeDocument/2006/relationships/hyperlink" Target="https://login.consultant.ru/link/?req=doc&amp;base=LAW&amp;n=471026&amp;dst=2306" TargetMode="External"/><Relationship Id="rId33" Type="http://schemas.openxmlformats.org/officeDocument/2006/relationships/hyperlink" Target="https://login.consultant.ru/link/?req=doc&amp;base=LAW&amp;n=471026&amp;dst=209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1026&amp;dst=2104" TargetMode="External"/><Relationship Id="rId20" Type="http://schemas.openxmlformats.org/officeDocument/2006/relationships/hyperlink" Target="https://login.consultant.ru/link/?req=doc&amp;base=LAW&amp;n=471026&amp;dst=100397" TargetMode="External"/><Relationship Id="rId29" Type="http://schemas.openxmlformats.org/officeDocument/2006/relationships/hyperlink" Target="https://login.consultant.ru/link/?req=doc&amp;base=LAW&amp;n=471026&amp;dst=3266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71026" TargetMode="External"/><Relationship Id="rId24" Type="http://schemas.openxmlformats.org/officeDocument/2006/relationships/hyperlink" Target="https://login.consultant.ru/link/?req=doc&amp;base=LAW&amp;n=471026&amp;dst=101720" TargetMode="External"/><Relationship Id="rId32" Type="http://schemas.openxmlformats.org/officeDocument/2006/relationships/hyperlink" Target="https://login.consultant.ru/link/?req=doc&amp;base=LAW&amp;n=471026&amp;dst=10171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71026&amp;dst=100397" TargetMode="External"/><Relationship Id="rId23" Type="http://schemas.openxmlformats.org/officeDocument/2006/relationships/hyperlink" Target="https://login.consultant.ru/link/?req=doc&amp;base=LAW&amp;n=471026&amp;dst=101724" TargetMode="External"/><Relationship Id="rId28" Type="http://schemas.openxmlformats.org/officeDocument/2006/relationships/hyperlink" Target="https://login.consultant.ru/link/?req=doc&amp;base=LAW&amp;n=471026&amp;dst=3541" TargetMode="External"/><Relationship Id="rId10" Type="http://schemas.openxmlformats.org/officeDocument/2006/relationships/hyperlink" Target="https://login.consultant.ru/link/?req=doc&amp;base=RLAW071&amp;n=377644&amp;dst=102786" TargetMode="External"/><Relationship Id="rId19" Type="http://schemas.openxmlformats.org/officeDocument/2006/relationships/hyperlink" Target="https://login.consultant.ru/link/?req=doc&amp;base=LAW&amp;n=471026&amp;dst=100379" TargetMode="External"/><Relationship Id="rId31" Type="http://schemas.openxmlformats.org/officeDocument/2006/relationships/hyperlink" Target="https://login.consultant.ru/link/?req=doc&amp;base=LAW&amp;n=471026&amp;dst=32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71&amp;n=383194" TargetMode="External"/><Relationship Id="rId14" Type="http://schemas.openxmlformats.org/officeDocument/2006/relationships/hyperlink" Target="https://login.consultant.ru/link/?req=doc&amp;base=LAW&amp;n=471026&amp;dst=100421" TargetMode="External"/><Relationship Id="rId22" Type="http://schemas.openxmlformats.org/officeDocument/2006/relationships/hyperlink" Target="https://login.consultant.ru/link/?req=doc&amp;base=LAW&amp;n=471026&amp;dst=101719" TargetMode="External"/><Relationship Id="rId27" Type="http://schemas.openxmlformats.org/officeDocument/2006/relationships/hyperlink" Target="https://login.consultant.ru/link/?req=doc&amp;base=LAW&amp;n=471026&amp;dst=101719" TargetMode="External"/><Relationship Id="rId30" Type="http://schemas.openxmlformats.org/officeDocument/2006/relationships/hyperlink" Target="https://login.consultant.ru/link/?req=doc&amp;base=LAW&amp;n=471026&amp;dst=3266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3666</Words>
  <Characters>20902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городского округа Сухой Лог</dc:creator>
  <cp:keywords/>
  <dc:description/>
  <cp:lastModifiedBy>Дума</cp:lastModifiedBy>
  <cp:revision>3</cp:revision>
  <dcterms:created xsi:type="dcterms:W3CDTF">2025-01-09T07:40:00Z</dcterms:created>
  <dcterms:modified xsi:type="dcterms:W3CDTF">2025-01-13T05:18:00Z</dcterms:modified>
</cp:coreProperties>
</file>