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B19" w:rsidRPr="00405B19" w:rsidRDefault="00405B19" w:rsidP="00405B19">
      <w:pPr>
        <w:ind w:firstLine="567"/>
        <w:jc w:val="center"/>
        <w:rPr>
          <w:rFonts w:ascii="Liberation Serif" w:hAnsi="Liberation Serif" w:cs="Times New Roman"/>
          <w:b/>
          <w:sz w:val="28"/>
          <w:szCs w:val="28"/>
        </w:rPr>
      </w:pPr>
      <w:r w:rsidRPr="00405B19">
        <w:rPr>
          <w:rFonts w:ascii="Liberation Serif" w:hAnsi="Liberation Serif" w:cs="Times New Roman"/>
          <w:b/>
          <w:sz w:val="28"/>
          <w:szCs w:val="28"/>
        </w:rPr>
        <w:t xml:space="preserve">Информация </w:t>
      </w:r>
    </w:p>
    <w:p w:rsidR="00405B19" w:rsidRPr="00405B19" w:rsidRDefault="00405B19" w:rsidP="00405B19">
      <w:pPr>
        <w:ind w:firstLine="567"/>
        <w:jc w:val="center"/>
        <w:rPr>
          <w:rFonts w:ascii="Liberation Serif" w:hAnsi="Liberation Serif" w:cs="Times New Roman"/>
          <w:b/>
          <w:sz w:val="28"/>
          <w:szCs w:val="28"/>
        </w:rPr>
      </w:pPr>
      <w:r w:rsidRPr="00405B19">
        <w:rPr>
          <w:rFonts w:ascii="Liberation Serif" w:hAnsi="Liberation Serif" w:cs="Times New Roman"/>
          <w:b/>
          <w:sz w:val="28"/>
          <w:szCs w:val="28"/>
        </w:rPr>
        <w:t>о результатах проверки годовой бюджетной отчетности за 202</w:t>
      </w:r>
      <w:r w:rsidR="00EE36F5">
        <w:rPr>
          <w:rFonts w:ascii="Liberation Serif" w:hAnsi="Liberation Serif" w:cs="Times New Roman"/>
          <w:b/>
          <w:sz w:val="28"/>
          <w:szCs w:val="28"/>
        </w:rPr>
        <w:t>4</w:t>
      </w:r>
      <w:r w:rsidRPr="00405B19">
        <w:rPr>
          <w:rFonts w:ascii="Liberation Serif" w:hAnsi="Liberation Serif" w:cs="Times New Roman"/>
          <w:b/>
          <w:sz w:val="28"/>
          <w:szCs w:val="28"/>
        </w:rPr>
        <w:t xml:space="preserve"> год</w:t>
      </w:r>
    </w:p>
    <w:p w:rsidR="00405B19" w:rsidRPr="00405B19" w:rsidRDefault="00405B19" w:rsidP="00405B19">
      <w:pPr>
        <w:ind w:firstLine="567"/>
        <w:jc w:val="both"/>
        <w:rPr>
          <w:rFonts w:ascii="Liberation Serif" w:hAnsi="Liberation Serif" w:cs="Times New Roman"/>
          <w:b/>
          <w:sz w:val="28"/>
          <w:szCs w:val="28"/>
        </w:rPr>
      </w:pPr>
    </w:p>
    <w:p w:rsidR="00405B19" w:rsidRPr="00405B19" w:rsidRDefault="00405B19" w:rsidP="00405B19">
      <w:pPr>
        <w:ind w:firstLine="567"/>
        <w:jc w:val="both"/>
        <w:rPr>
          <w:rFonts w:ascii="Liberation Serif" w:hAnsi="Liberation Serif" w:cs="Times New Roman"/>
          <w:b/>
          <w:sz w:val="28"/>
          <w:szCs w:val="28"/>
        </w:rPr>
      </w:pPr>
    </w:p>
    <w:p w:rsidR="00405B19" w:rsidRPr="00405B19" w:rsidRDefault="00405B19" w:rsidP="00405B19">
      <w:pPr>
        <w:ind w:firstLine="567"/>
        <w:jc w:val="both"/>
        <w:rPr>
          <w:rFonts w:ascii="Liberation Serif" w:hAnsi="Liberation Serif" w:cs="Times New Roman"/>
          <w:sz w:val="28"/>
          <w:szCs w:val="28"/>
        </w:rPr>
      </w:pPr>
      <w:r w:rsidRPr="00405B19">
        <w:rPr>
          <w:rFonts w:ascii="Liberation Serif" w:hAnsi="Liberation Serif" w:cs="Times New Roman"/>
          <w:sz w:val="28"/>
          <w:szCs w:val="28"/>
        </w:rPr>
        <w:t>В феврале 202</w:t>
      </w:r>
      <w:r w:rsidR="00EE36F5">
        <w:rPr>
          <w:rFonts w:ascii="Liberation Serif" w:hAnsi="Liberation Serif" w:cs="Times New Roman"/>
          <w:sz w:val="28"/>
          <w:szCs w:val="28"/>
        </w:rPr>
        <w:t>5</w:t>
      </w:r>
      <w:r w:rsidRPr="00405B19">
        <w:rPr>
          <w:rFonts w:ascii="Liberation Serif" w:hAnsi="Liberation Serif" w:cs="Times New Roman"/>
          <w:sz w:val="28"/>
          <w:szCs w:val="28"/>
        </w:rPr>
        <w:t xml:space="preserve"> года Счетной палатой городского округа Сухой Лог в Думе </w:t>
      </w:r>
      <w:r w:rsidR="00EE36F5">
        <w:rPr>
          <w:rFonts w:ascii="Liberation Serif" w:hAnsi="Liberation Serif" w:cs="Times New Roman"/>
          <w:sz w:val="28"/>
          <w:szCs w:val="28"/>
        </w:rPr>
        <w:t>муниципального</w:t>
      </w:r>
      <w:r w:rsidRPr="00405B19">
        <w:rPr>
          <w:rFonts w:ascii="Liberation Serif" w:hAnsi="Liberation Serif" w:cs="Times New Roman"/>
          <w:sz w:val="28"/>
          <w:szCs w:val="28"/>
        </w:rPr>
        <w:t xml:space="preserve"> округа </w:t>
      </w:r>
      <w:r w:rsidR="00EE36F5">
        <w:rPr>
          <w:rFonts w:ascii="Liberation Serif" w:hAnsi="Liberation Serif" w:cs="Times New Roman"/>
          <w:sz w:val="28"/>
          <w:szCs w:val="28"/>
        </w:rPr>
        <w:t xml:space="preserve">Сухой Лог </w:t>
      </w:r>
      <w:r w:rsidRPr="00405B19">
        <w:rPr>
          <w:rFonts w:ascii="Liberation Serif" w:hAnsi="Liberation Serif" w:cs="Times New Roman"/>
          <w:sz w:val="28"/>
          <w:szCs w:val="28"/>
        </w:rPr>
        <w:t>проведена внешняя проверка годовой бюджетной отчетности за 202</w:t>
      </w:r>
      <w:r w:rsidR="00EE36F5">
        <w:rPr>
          <w:rFonts w:ascii="Liberation Serif" w:hAnsi="Liberation Serif" w:cs="Times New Roman"/>
          <w:sz w:val="28"/>
          <w:szCs w:val="28"/>
        </w:rPr>
        <w:t>4</w:t>
      </w:r>
      <w:r w:rsidRPr="00405B19">
        <w:rPr>
          <w:rFonts w:ascii="Liberation Serif" w:hAnsi="Liberation Serif" w:cs="Times New Roman"/>
          <w:sz w:val="28"/>
          <w:szCs w:val="28"/>
        </w:rPr>
        <w:t xml:space="preserve"> год.</w:t>
      </w:r>
    </w:p>
    <w:p w:rsidR="00405B19" w:rsidRPr="00405B19" w:rsidRDefault="00405B19" w:rsidP="00405B19">
      <w:pPr>
        <w:ind w:firstLine="567"/>
        <w:jc w:val="both"/>
        <w:rPr>
          <w:rFonts w:ascii="Liberation Serif" w:eastAsia="Times New Roman" w:hAnsi="Liberation Serif" w:cs="Times New Roman"/>
          <w:sz w:val="28"/>
          <w:szCs w:val="28"/>
        </w:rPr>
      </w:pPr>
      <w:r w:rsidRPr="00405B19">
        <w:rPr>
          <w:rFonts w:ascii="Liberation Serif" w:eastAsia="Times New Roman" w:hAnsi="Liberation Serif" w:cs="Times New Roman"/>
          <w:sz w:val="28"/>
          <w:szCs w:val="28"/>
        </w:rPr>
        <w:t xml:space="preserve">Цель контрольного мероприятия: установить полноту и достоверность годовой бюджетной отчетности главного администратора бюджетных средств. Оценить соблюдение бюджетного законодательства при осуществлении бюджетного процесса в </w:t>
      </w:r>
      <w:r w:rsidR="00EE36F5">
        <w:rPr>
          <w:rFonts w:ascii="Liberation Serif" w:eastAsia="Times New Roman" w:hAnsi="Liberation Serif" w:cs="Times New Roman"/>
          <w:sz w:val="28"/>
          <w:szCs w:val="28"/>
        </w:rPr>
        <w:t>муниципальном</w:t>
      </w:r>
      <w:r w:rsidRPr="00405B19">
        <w:rPr>
          <w:rFonts w:ascii="Liberation Serif" w:eastAsia="Times New Roman" w:hAnsi="Liberation Serif" w:cs="Times New Roman"/>
          <w:sz w:val="28"/>
          <w:szCs w:val="28"/>
        </w:rPr>
        <w:t xml:space="preserve"> округе Сухой Лог.</w:t>
      </w:r>
    </w:p>
    <w:p w:rsidR="00405B19" w:rsidRPr="00405B19" w:rsidRDefault="00405B19" w:rsidP="00405B19">
      <w:pPr>
        <w:ind w:firstLine="567"/>
        <w:jc w:val="both"/>
        <w:rPr>
          <w:rFonts w:ascii="Liberation Serif" w:eastAsia="Times New Roman" w:hAnsi="Liberation Serif" w:cs="Times New Roman"/>
          <w:sz w:val="28"/>
          <w:szCs w:val="28"/>
        </w:rPr>
      </w:pPr>
      <w:proofErr w:type="gramStart"/>
      <w:r w:rsidRPr="00405B19">
        <w:rPr>
          <w:rFonts w:ascii="Liberation Serif" w:eastAsia="Times New Roman" w:hAnsi="Liberation Serif" w:cs="Times New Roman"/>
          <w:sz w:val="28"/>
          <w:szCs w:val="28"/>
        </w:rPr>
        <w:t xml:space="preserve">В ходе проверки полноты сформированной годовой бюджетной отчетности установлено, что бюджетная отчетность по составу, содержанию и информативности в целом соответствует нормам </w:t>
      </w:r>
      <w:r w:rsidRPr="00EE36F5">
        <w:rPr>
          <w:rFonts w:ascii="Liberation Serif" w:eastAsia="Times New Roman" w:hAnsi="Liberation Serif" w:cs="Times New Roman"/>
          <w:sz w:val="28"/>
          <w:szCs w:val="28"/>
        </w:rPr>
        <w:t>И</w:t>
      </w:r>
      <w:r w:rsidRPr="00405B19">
        <w:rPr>
          <w:rFonts w:ascii="Liberation Serif" w:eastAsia="Times New Roman" w:hAnsi="Liberation Serif" w:cs="Times New Roman"/>
          <w:sz w:val="28"/>
          <w:szCs w:val="28"/>
          <w:lang w:bidi="ar-SA"/>
        </w:rPr>
        <w:t>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r w:rsidRPr="00405B19">
        <w:rPr>
          <w:rFonts w:ascii="Liberation Serif" w:eastAsia="Times New Roman" w:hAnsi="Liberation Serif" w:cs="Times New Roman"/>
          <w:sz w:val="28"/>
          <w:szCs w:val="28"/>
        </w:rPr>
        <w:t xml:space="preserve"> в отчетности присутствуют все необходимые формы с указанием обязательных реквизитов.</w:t>
      </w:r>
      <w:proofErr w:type="gramEnd"/>
    </w:p>
    <w:p w:rsidR="00405B19" w:rsidRPr="00405B19" w:rsidRDefault="00405B19" w:rsidP="00405B19">
      <w:pPr>
        <w:widowControl/>
        <w:ind w:firstLine="567"/>
        <w:jc w:val="both"/>
        <w:rPr>
          <w:rFonts w:ascii="Liberation Serif" w:eastAsia="Times New Roman" w:hAnsi="Liberation Serif" w:cs="Times New Roman"/>
          <w:color w:val="auto"/>
          <w:sz w:val="28"/>
          <w:szCs w:val="28"/>
          <w:lang w:bidi="ar-SA"/>
        </w:rPr>
      </w:pPr>
      <w:r w:rsidRPr="00405B19">
        <w:rPr>
          <w:rFonts w:ascii="Liberation Serif" w:eastAsia="Times New Roman" w:hAnsi="Liberation Serif" w:cs="Times New Roman"/>
          <w:sz w:val="28"/>
          <w:szCs w:val="28"/>
          <w:lang w:bidi="ar-SA"/>
        </w:rPr>
        <w:t xml:space="preserve">Решением Думы о бюджете Дума </w:t>
      </w:r>
      <w:r w:rsidR="00EE36F5">
        <w:rPr>
          <w:rFonts w:ascii="Liberation Serif" w:eastAsia="Times New Roman" w:hAnsi="Liberation Serif" w:cs="Times New Roman"/>
          <w:sz w:val="28"/>
          <w:szCs w:val="28"/>
          <w:lang w:bidi="ar-SA"/>
        </w:rPr>
        <w:t>муниципального</w:t>
      </w:r>
      <w:r w:rsidRPr="00405B19">
        <w:rPr>
          <w:rFonts w:ascii="Liberation Serif" w:eastAsia="Times New Roman" w:hAnsi="Liberation Serif" w:cs="Times New Roman"/>
          <w:sz w:val="28"/>
          <w:szCs w:val="28"/>
          <w:lang w:bidi="ar-SA"/>
        </w:rPr>
        <w:t xml:space="preserve"> округа </w:t>
      </w:r>
      <w:r w:rsidR="00EE36F5">
        <w:rPr>
          <w:rFonts w:ascii="Liberation Serif" w:eastAsia="Times New Roman" w:hAnsi="Liberation Serif" w:cs="Times New Roman"/>
          <w:sz w:val="28"/>
          <w:szCs w:val="28"/>
          <w:lang w:bidi="ar-SA"/>
        </w:rPr>
        <w:t xml:space="preserve">Сухой Лог </w:t>
      </w:r>
      <w:r w:rsidRPr="00405B19">
        <w:rPr>
          <w:rFonts w:ascii="Liberation Serif" w:eastAsia="Times New Roman" w:hAnsi="Liberation Serif" w:cs="Times New Roman"/>
          <w:sz w:val="28"/>
          <w:szCs w:val="28"/>
          <w:lang w:bidi="ar-SA"/>
        </w:rPr>
        <w:t>не наделена полномочиями главного администратора доходов бюджета городского округа Сухой Лог (Приложение № 5 «Перечень главных администраторов доходов бюджета городского округа Сухой Лог на 202</w:t>
      </w:r>
      <w:r w:rsidR="00EE36F5">
        <w:rPr>
          <w:rFonts w:ascii="Liberation Serif" w:eastAsia="Times New Roman" w:hAnsi="Liberation Serif" w:cs="Times New Roman"/>
          <w:sz w:val="28"/>
          <w:szCs w:val="28"/>
          <w:lang w:bidi="ar-SA"/>
        </w:rPr>
        <w:t>4</w:t>
      </w:r>
      <w:r w:rsidRPr="00405B19">
        <w:rPr>
          <w:rFonts w:ascii="Liberation Serif" w:eastAsia="Times New Roman" w:hAnsi="Liberation Serif" w:cs="Times New Roman"/>
          <w:sz w:val="28"/>
          <w:szCs w:val="28"/>
          <w:lang w:bidi="ar-SA"/>
        </w:rPr>
        <w:t xml:space="preserve"> год и плановый период 202</w:t>
      </w:r>
      <w:r w:rsidR="00EE36F5">
        <w:rPr>
          <w:rFonts w:ascii="Liberation Serif" w:eastAsia="Times New Roman" w:hAnsi="Liberation Serif" w:cs="Times New Roman"/>
          <w:sz w:val="28"/>
          <w:szCs w:val="28"/>
          <w:lang w:bidi="ar-SA"/>
        </w:rPr>
        <w:t>5</w:t>
      </w:r>
      <w:r w:rsidRPr="00405B19">
        <w:rPr>
          <w:rFonts w:ascii="Liberation Serif" w:eastAsia="Times New Roman" w:hAnsi="Liberation Serif" w:cs="Times New Roman"/>
          <w:sz w:val="28"/>
          <w:szCs w:val="28"/>
          <w:lang w:bidi="ar-SA"/>
        </w:rPr>
        <w:t xml:space="preserve"> и 202</w:t>
      </w:r>
      <w:r w:rsidR="00EE36F5">
        <w:rPr>
          <w:rFonts w:ascii="Liberation Serif" w:eastAsia="Times New Roman" w:hAnsi="Liberation Serif" w:cs="Times New Roman"/>
          <w:sz w:val="28"/>
          <w:szCs w:val="28"/>
          <w:lang w:bidi="ar-SA"/>
        </w:rPr>
        <w:t>6</w:t>
      </w:r>
      <w:r w:rsidRPr="00405B19">
        <w:rPr>
          <w:rFonts w:ascii="Liberation Serif" w:eastAsia="Times New Roman" w:hAnsi="Liberation Serif" w:cs="Times New Roman"/>
          <w:sz w:val="28"/>
          <w:szCs w:val="28"/>
          <w:lang w:bidi="ar-SA"/>
        </w:rPr>
        <w:t xml:space="preserve"> годов»).</w:t>
      </w:r>
    </w:p>
    <w:p w:rsidR="00405B19" w:rsidRPr="00405B19" w:rsidRDefault="00405B19" w:rsidP="00405B19">
      <w:pPr>
        <w:widowControl/>
        <w:ind w:firstLine="567"/>
        <w:jc w:val="both"/>
        <w:rPr>
          <w:rFonts w:ascii="Liberation Serif" w:eastAsia="Times New Roman" w:hAnsi="Liberation Serif" w:cs="Times New Roman"/>
          <w:color w:val="auto"/>
          <w:sz w:val="28"/>
          <w:szCs w:val="28"/>
          <w:lang w:bidi="ar-SA"/>
        </w:rPr>
      </w:pPr>
      <w:r w:rsidRPr="00405B19">
        <w:rPr>
          <w:rFonts w:ascii="Liberation Serif" w:eastAsia="Times New Roman" w:hAnsi="Liberation Serif" w:cs="Times New Roman"/>
          <w:sz w:val="28"/>
          <w:szCs w:val="28"/>
          <w:lang w:bidi="ar-SA"/>
        </w:rPr>
        <w:t>Показатели раздела 1 «Доходы бюджета»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имеют нулевые значения. Доходов, администрируемых Думой городского округа в бюджет городского округа Сухой Лог не поступало, что подтверждается данными формы 0503117 «Отчет об исполнении бюджета» Финансового управления Администрации городского округа Сухой Лог и показателями формы 0503151 «Отчет по поступлениям и выбытиям» Управления Федерального казначейства по Свердловской области.</w:t>
      </w:r>
    </w:p>
    <w:p w:rsidR="00405B19" w:rsidRPr="00405B19" w:rsidRDefault="00405B19" w:rsidP="00405B19">
      <w:pPr>
        <w:widowControl/>
        <w:ind w:firstLine="567"/>
        <w:jc w:val="both"/>
        <w:rPr>
          <w:rFonts w:ascii="Liberation Serif" w:eastAsia="Times New Roman" w:hAnsi="Liberation Serif" w:cs="Times New Roman"/>
          <w:color w:val="auto"/>
          <w:sz w:val="28"/>
          <w:szCs w:val="28"/>
          <w:lang w:bidi="ar-SA"/>
        </w:rPr>
      </w:pPr>
      <w:r w:rsidRPr="00405B19">
        <w:rPr>
          <w:rFonts w:ascii="Liberation Serif" w:eastAsia="Times New Roman" w:hAnsi="Liberation Serif" w:cs="Times New Roman"/>
          <w:sz w:val="28"/>
          <w:szCs w:val="28"/>
          <w:lang w:bidi="ar-SA"/>
        </w:rPr>
        <w:t xml:space="preserve">Решением Думы о бюджете Дума </w:t>
      </w:r>
      <w:r w:rsidR="00EE36F5">
        <w:rPr>
          <w:rFonts w:ascii="Liberation Serif" w:eastAsia="Times New Roman" w:hAnsi="Liberation Serif" w:cs="Times New Roman"/>
          <w:sz w:val="28"/>
          <w:szCs w:val="28"/>
          <w:lang w:bidi="ar-SA"/>
        </w:rPr>
        <w:t>муниципального</w:t>
      </w:r>
      <w:r w:rsidRPr="00405B19">
        <w:rPr>
          <w:rFonts w:ascii="Liberation Serif" w:eastAsia="Times New Roman" w:hAnsi="Liberation Serif" w:cs="Times New Roman"/>
          <w:sz w:val="28"/>
          <w:szCs w:val="28"/>
          <w:lang w:bidi="ar-SA"/>
        </w:rPr>
        <w:t xml:space="preserve"> округа </w:t>
      </w:r>
      <w:r w:rsidR="00EE36F5">
        <w:rPr>
          <w:rFonts w:ascii="Liberation Serif" w:eastAsia="Times New Roman" w:hAnsi="Liberation Serif" w:cs="Times New Roman"/>
          <w:sz w:val="28"/>
          <w:szCs w:val="28"/>
          <w:lang w:bidi="ar-SA"/>
        </w:rPr>
        <w:t xml:space="preserve">Сухой Лог </w:t>
      </w:r>
      <w:r w:rsidRPr="00405B19">
        <w:rPr>
          <w:rFonts w:ascii="Liberation Serif" w:eastAsia="Times New Roman" w:hAnsi="Liberation Serif" w:cs="Times New Roman"/>
          <w:sz w:val="28"/>
          <w:szCs w:val="28"/>
          <w:lang w:bidi="ar-SA"/>
        </w:rPr>
        <w:t>наделена полномочиями главного распорядителя средств бюджета городского округа Сухой Лог с кодом 912.</w:t>
      </w:r>
    </w:p>
    <w:p w:rsidR="00405B19" w:rsidRPr="00405B19" w:rsidRDefault="00405B19" w:rsidP="00405B19">
      <w:pPr>
        <w:widowControl/>
        <w:ind w:firstLine="567"/>
        <w:jc w:val="both"/>
        <w:rPr>
          <w:rFonts w:ascii="Liberation Serif" w:eastAsia="Times New Roman" w:hAnsi="Liberation Serif" w:cs="Times New Roman"/>
          <w:color w:val="auto"/>
          <w:sz w:val="28"/>
          <w:szCs w:val="28"/>
          <w:lang w:bidi="ar-SA"/>
        </w:rPr>
      </w:pPr>
      <w:r w:rsidRPr="00405B19">
        <w:rPr>
          <w:rFonts w:ascii="Liberation Serif" w:eastAsia="Times New Roman" w:hAnsi="Liberation Serif" w:cs="Times New Roman"/>
          <w:sz w:val="28"/>
          <w:szCs w:val="28"/>
          <w:lang w:bidi="ar-SA"/>
        </w:rPr>
        <w:t xml:space="preserve">Подведомственных получателей бюджетных средств Дума </w:t>
      </w:r>
      <w:r w:rsidR="00EE36F5">
        <w:rPr>
          <w:rFonts w:ascii="Liberation Serif" w:eastAsia="Times New Roman" w:hAnsi="Liberation Serif" w:cs="Times New Roman"/>
          <w:sz w:val="28"/>
          <w:szCs w:val="28"/>
          <w:lang w:bidi="ar-SA"/>
        </w:rPr>
        <w:t>муниципального</w:t>
      </w:r>
      <w:r w:rsidRPr="00405B19">
        <w:rPr>
          <w:rFonts w:ascii="Liberation Serif" w:eastAsia="Times New Roman" w:hAnsi="Liberation Serif" w:cs="Times New Roman"/>
          <w:sz w:val="28"/>
          <w:szCs w:val="28"/>
          <w:lang w:bidi="ar-SA"/>
        </w:rPr>
        <w:t xml:space="preserve"> округа</w:t>
      </w:r>
      <w:r w:rsidR="00EE36F5">
        <w:rPr>
          <w:rFonts w:ascii="Liberation Serif" w:eastAsia="Times New Roman" w:hAnsi="Liberation Serif" w:cs="Times New Roman"/>
          <w:sz w:val="28"/>
          <w:szCs w:val="28"/>
          <w:lang w:bidi="ar-SA"/>
        </w:rPr>
        <w:t xml:space="preserve"> Сухой Лог</w:t>
      </w:r>
      <w:r w:rsidRPr="00405B19">
        <w:rPr>
          <w:rFonts w:ascii="Liberation Serif" w:eastAsia="Times New Roman" w:hAnsi="Liberation Serif" w:cs="Times New Roman"/>
          <w:sz w:val="28"/>
          <w:szCs w:val="28"/>
          <w:lang w:bidi="ar-SA"/>
        </w:rPr>
        <w:t xml:space="preserve"> не имеет.</w:t>
      </w:r>
    </w:p>
    <w:p w:rsidR="00405B19" w:rsidRPr="00405B19" w:rsidRDefault="00405B19" w:rsidP="00405B19">
      <w:pPr>
        <w:widowControl/>
        <w:ind w:firstLine="567"/>
        <w:jc w:val="both"/>
        <w:rPr>
          <w:rFonts w:ascii="Liberation Serif" w:eastAsia="Times New Roman" w:hAnsi="Liberation Serif" w:cs="Times New Roman"/>
          <w:color w:val="auto"/>
          <w:sz w:val="28"/>
          <w:szCs w:val="28"/>
          <w:lang w:bidi="ar-SA"/>
        </w:rPr>
      </w:pPr>
      <w:proofErr w:type="gramStart"/>
      <w:r w:rsidRPr="00405B19">
        <w:rPr>
          <w:rFonts w:ascii="Liberation Serif" w:eastAsia="Times New Roman" w:hAnsi="Liberation Serif" w:cs="Times New Roman"/>
          <w:sz w:val="28"/>
          <w:szCs w:val="28"/>
          <w:lang w:bidi="ar-SA"/>
        </w:rPr>
        <w:t xml:space="preserve">По данным раздела 2 «Расходы бюджета»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утвержденные плановые бюджетные </w:t>
      </w:r>
      <w:r w:rsidRPr="00405B19">
        <w:rPr>
          <w:rFonts w:ascii="Liberation Serif" w:eastAsia="Times New Roman" w:hAnsi="Liberation Serif" w:cs="Times New Roman"/>
          <w:sz w:val="28"/>
          <w:szCs w:val="28"/>
          <w:lang w:bidi="ar-SA"/>
        </w:rPr>
        <w:lastRenderedPageBreak/>
        <w:t xml:space="preserve">назначения составляют </w:t>
      </w:r>
      <w:r w:rsidR="00EE36F5">
        <w:rPr>
          <w:rFonts w:ascii="Liberation Serif" w:eastAsia="Times New Roman" w:hAnsi="Liberation Serif" w:cs="Times New Roman"/>
          <w:sz w:val="28"/>
          <w:szCs w:val="28"/>
          <w:lang w:bidi="ar-SA"/>
        </w:rPr>
        <w:t>8306112,71</w:t>
      </w:r>
      <w:r w:rsidRPr="00405B19">
        <w:rPr>
          <w:rFonts w:ascii="Liberation Serif" w:eastAsia="Times New Roman" w:hAnsi="Liberation Serif" w:cs="Times New Roman"/>
          <w:sz w:val="28"/>
          <w:szCs w:val="28"/>
          <w:lang w:bidi="ar-SA"/>
        </w:rPr>
        <w:t xml:space="preserve"> рублей и соответствуют показателям ведомственной структуры расходов бюджета, утвержденной Решением Думы о бюджете и бюджетным назначениям Сводной бюджетной росписи на 202</w:t>
      </w:r>
      <w:r w:rsidR="00EE36F5">
        <w:rPr>
          <w:rFonts w:ascii="Liberation Serif" w:eastAsia="Times New Roman" w:hAnsi="Liberation Serif" w:cs="Times New Roman"/>
          <w:sz w:val="28"/>
          <w:szCs w:val="28"/>
          <w:lang w:bidi="ar-SA"/>
        </w:rPr>
        <w:t>4 год</w:t>
      </w:r>
      <w:r w:rsidRPr="00405B19">
        <w:rPr>
          <w:rFonts w:ascii="Liberation Serif" w:eastAsia="Times New Roman" w:hAnsi="Liberation Serif" w:cs="Times New Roman"/>
          <w:sz w:val="28"/>
          <w:szCs w:val="28"/>
          <w:lang w:bidi="ar-SA"/>
        </w:rPr>
        <w:t>.</w:t>
      </w:r>
      <w:proofErr w:type="gramEnd"/>
    </w:p>
    <w:p w:rsidR="00405B19" w:rsidRPr="00405B19" w:rsidRDefault="00405B19" w:rsidP="00405B19">
      <w:pPr>
        <w:widowControl/>
        <w:ind w:firstLine="567"/>
        <w:jc w:val="both"/>
        <w:rPr>
          <w:rFonts w:ascii="Liberation Serif" w:eastAsia="Times New Roman" w:hAnsi="Liberation Serif" w:cs="Times New Roman"/>
          <w:color w:val="auto"/>
          <w:sz w:val="28"/>
          <w:szCs w:val="28"/>
          <w:lang w:bidi="ar-SA"/>
        </w:rPr>
      </w:pPr>
      <w:r w:rsidRPr="00405B19">
        <w:rPr>
          <w:rFonts w:ascii="Liberation Serif" w:eastAsia="Times New Roman" w:hAnsi="Liberation Serif" w:cs="Times New Roman"/>
          <w:sz w:val="28"/>
          <w:szCs w:val="28"/>
          <w:lang w:bidi="ar-SA"/>
        </w:rPr>
        <w:t xml:space="preserve">Сумма фактического исполнения, отраженная в разделе 2 «Расходы бюджета» формы 0503127 «Исполнено через финансовые органы» составляет </w:t>
      </w:r>
      <w:r w:rsidR="00EE36F5">
        <w:rPr>
          <w:rFonts w:ascii="Liberation Serif" w:eastAsia="Times New Roman" w:hAnsi="Liberation Serif" w:cs="Times New Roman"/>
          <w:sz w:val="28"/>
          <w:szCs w:val="28"/>
          <w:lang w:bidi="ar-SA"/>
        </w:rPr>
        <w:t>8304772,68</w:t>
      </w:r>
      <w:r w:rsidRPr="00405B19">
        <w:rPr>
          <w:rFonts w:ascii="Liberation Serif" w:eastAsia="Times New Roman" w:hAnsi="Liberation Serif" w:cs="Times New Roman"/>
          <w:sz w:val="28"/>
          <w:szCs w:val="28"/>
          <w:lang w:bidi="ar-SA"/>
        </w:rPr>
        <w:t xml:space="preserve"> рублей.</w:t>
      </w:r>
    </w:p>
    <w:p w:rsidR="00405B19" w:rsidRPr="00405B19" w:rsidRDefault="00405B19" w:rsidP="00405B19">
      <w:pPr>
        <w:widowControl/>
        <w:ind w:firstLine="567"/>
        <w:jc w:val="both"/>
        <w:rPr>
          <w:rFonts w:ascii="Liberation Serif" w:eastAsia="Times New Roman" w:hAnsi="Liberation Serif" w:cs="Times New Roman"/>
          <w:color w:val="auto"/>
          <w:sz w:val="28"/>
          <w:szCs w:val="28"/>
          <w:lang w:bidi="ar-SA"/>
        </w:rPr>
      </w:pPr>
      <w:r w:rsidRPr="00405B19">
        <w:rPr>
          <w:rFonts w:ascii="Liberation Serif" w:eastAsia="Times New Roman" w:hAnsi="Liberation Serif" w:cs="Times New Roman"/>
          <w:sz w:val="28"/>
          <w:szCs w:val="28"/>
          <w:lang w:bidi="ar-SA"/>
        </w:rPr>
        <w:t>Достоверность показателей подтверждается данными Отчета по поступлениям и выбытиям Управления Федерального казначейства по Свердловской области (форма 0503151).</w:t>
      </w:r>
    </w:p>
    <w:p w:rsidR="00405B19" w:rsidRPr="00405B19" w:rsidRDefault="00405B19" w:rsidP="00405B19">
      <w:pPr>
        <w:ind w:firstLine="567"/>
        <w:jc w:val="both"/>
        <w:rPr>
          <w:rFonts w:ascii="Liberation Serif" w:eastAsia="Times New Roman" w:hAnsi="Liberation Serif" w:cs="Times New Roman"/>
          <w:sz w:val="28"/>
          <w:szCs w:val="28"/>
        </w:rPr>
      </w:pPr>
      <w:r w:rsidRPr="00405B19">
        <w:rPr>
          <w:rFonts w:ascii="Liberation Serif" w:eastAsia="Times New Roman" w:hAnsi="Liberation Serif" w:cs="Times New Roman"/>
          <w:b/>
          <w:bCs/>
          <w:sz w:val="28"/>
          <w:szCs w:val="28"/>
        </w:rPr>
        <w:t>Выводы:</w:t>
      </w:r>
    </w:p>
    <w:p w:rsidR="00405B19" w:rsidRPr="00405B19" w:rsidRDefault="00405B19" w:rsidP="00405B19">
      <w:pPr>
        <w:widowControl/>
        <w:ind w:firstLine="567"/>
        <w:jc w:val="both"/>
        <w:rPr>
          <w:rFonts w:ascii="Liberation Serif" w:eastAsia="Times New Roman" w:hAnsi="Liberation Serif" w:cs="Times New Roman"/>
          <w:color w:val="auto"/>
          <w:sz w:val="28"/>
          <w:szCs w:val="28"/>
          <w:lang w:bidi="ar-SA"/>
        </w:rPr>
      </w:pPr>
      <w:r w:rsidRPr="00405B19">
        <w:rPr>
          <w:rFonts w:ascii="Liberation Serif" w:eastAsia="Times New Roman" w:hAnsi="Liberation Serif" w:cs="Times New Roman"/>
          <w:sz w:val="28"/>
          <w:szCs w:val="28"/>
          <w:lang w:bidi="ar-SA"/>
        </w:rPr>
        <w:t xml:space="preserve">Годовая бюджетная отчетность, представленная Думой </w:t>
      </w:r>
      <w:r w:rsidR="00EE36F5">
        <w:rPr>
          <w:rFonts w:ascii="Liberation Serif" w:eastAsia="Times New Roman" w:hAnsi="Liberation Serif" w:cs="Times New Roman"/>
          <w:sz w:val="28"/>
          <w:szCs w:val="28"/>
          <w:lang w:bidi="ar-SA"/>
        </w:rPr>
        <w:t xml:space="preserve">муниципального </w:t>
      </w:r>
      <w:r w:rsidRPr="00405B19">
        <w:rPr>
          <w:rFonts w:ascii="Liberation Serif" w:eastAsia="Times New Roman" w:hAnsi="Liberation Serif" w:cs="Times New Roman"/>
          <w:sz w:val="28"/>
          <w:szCs w:val="28"/>
          <w:lang w:bidi="ar-SA"/>
        </w:rPr>
        <w:t>округа</w:t>
      </w:r>
      <w:r w:rsidR="00EE36F5">
        <w:rPr>
          <w:rFonts w:ascii="Liberation Serif" w:eastAsia="Times New Roman" w:hAnsi="Liberation Serif" w:cs="Times New Roman"/>
          <w:sz w:val="28"/>
          <w:szCs w:val="28"/>
          <w:lang w:bidi="ar-SA"/>
        </w:rPr>
        <w:t xml:space="preserve"> Сухой Лог</w:t>
      </w:r>
      <w:r w:rsidRPr="00405B19">
        <w:rPr>
          <w:rFonts w:ascii="Liberation Serif" w:eastAsia="Times New Roman" w:hAnsi="Liberation Serif" w:cs="Times New Roman"/>
          <w:sz w:val="28"/>
          <w:szCs w:val="28"/>
          <w:lang w:bidi="ar-SA"/>
        </w:rPr>
        <w:t xml:space="preserve">, является полной и достоверной, отражает исполнение бюджета </w:t>
      </w:r>
      <w:r w:rsidR="00EE36F5">
        <w:rPr>
          <w:rFonts w:ascii="Liberation Serif" w:eastAsia="Times New Roman" w:hAnsi="Liberation Serif" w:cs="Times New Roman"/>
          <w:sz w:val="28"/>
          <w:szCs w:val="28"/>
          <w:lang w:bidi="ar-SA"/>
        </w:rPr>
        <w:t>муниципального</w:t>
      </w:r>
      <w:r w:rsidRPr="00405B19">
        <w:rPr>
          <w:rFonts w:ascii="Liberation Serif" w:eastAsia="Times New Roman" w:hAnsi="Liberation Serif" w:cs="Times New Roman"/>
          <w:sz w:val="28"/>
          <w:szCs w:val="28"/>
          <w:lang w:bidi="ar-SA"/>
        </w:rPr>
        <w:t xml:space="preserve"> округа Сухой Лог за 202</w:t>
      </w:r>
      <w:r w:rsidR="00EE36F5">
        <w:rPr>
          <w:rFonts w:ascii="Liberation Serif" w:eastAsia="Times New Roman" w:hAnsi="Liberation Serif" w:cs="Times New Roman"/>
          <w:sz w:val="28"/>
          <w:szCs w:val="28"/>
          <w:lang w:bidi="ar-SA"/>
        </w:rPr>
        <w:t>4</w:t>
      </w:r>
      <w:r w:rsidRPr="00405B19">
        <w:rPr>
          <w:rFonts w:ascii="Liberation Serif" w:eastAsia="Times New Roman" w:hAnsi="Liberation Serif" w:cs="Times New Roman"/>
          <w:sz w:val="28"/>
          <w:szCs w:val="28"/>
          <w:lang w:bidi="ar-SA"/>
        </w:rPr>
        <w:t xml:space="preserve"> год, главного распорядителя и получателя бюджетных средств </w:t>
      </w:r>
      <w:r w:rsidR="00EE36F5">
        <w:rPr>
          <w:rFonts w:ascii="Liberation Serif" w:eastAsia="Times New Roman" w:hAnsi="Liberation Serif" w:cs="Times New Roman"/>
          <w:sz w:val="28"/>
          <w:szCs w:val="28"/>
          <w:lang w:bidi="ar-SA"/>
        </w:rPr>
        <w:t>муниципального</w:t>
      </w:r>
      <w:bookmarkStart w:id="0" w:name="_GoBack"/>
      <w:bookmarkEnd w:id="0"/>
      <w:r w:rsidRPr="00405B19">
        <w:rPr>
          <w:rFonts w:ascii="Liberation Serif" w:eastAsia="Times New Roman" w:hAnsi="Liberation Serif" w:cs="Times New Roman"/>
          <w:sz w:val="28"/>
          <w:szCs w:val="28"/>
          <w:lang w:bidi="ar-SA"/>
        </w:rPr>
        <w:t xml:space="preserve"> округа Сухой Лог.</w:t>
      </w:r>
    </w:p>
    <w:p w:rsidR="00405B19" w:rsidRPr="00405B19" w:rsidRDefault="00405B19" w:rsidP="00405B19">
      <w:pPr>
        <w:ind w:firstLine="567"/>
        <w:jc w:val="both"/>
        <w:rPr>
          <w:rFonts w:ascii="Liberation Serif" w:hAnsi="Liberation Serif" w:cs="Times New Roman"/>
          <w:sz w:val="28"/>
          <w:szCs w:val="28"/>
        </w:rPr>
      </w:pPr>
    </w:p>
    <w:p w:rsidR="009634C7" w:rsidRPr="00405B19" w:rsidRDefault="009634C7" w:rsidP="00405B19">
      <w:pPr>
        <w:ind w:firstLine="567"/>
        <w:rPr>
          <w:rFonts w:ascii="Liberation Serif" w:hAnsi="Liberation Serif"/>
          <w:sz w:val="28"/>
          <w:szCs w:val="28"/>
        </w:rPr>
      </w:pPr>
    </w:p>
    <w:sectPr w:rsidR="009634C7" w:rsidRPr="00405B19" w:rsidSect="00F423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1B" w:rsidRDefault="00970B1B">
      <w:r>
        <w:separator/>
      </w:r>
    </w:p>
  </w:endnote>
  <w:endnote w:type="continuationSeparator" w:id="0">
    <w:p w:rsidR="00970B1B" w:rsidRDefault="0097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1B" w:rsidRDefault="00970B1B"/>
  </w:footnote>
  <w:footnote w:type="continuationSeparator" w:id="0">
    <w:p w:rsidR="00970B1B" w:rsidRDefault="00970B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5B1"/>
    <w:multiLevelType w:val="multilevel"/>
    <w:tmpl w:val="F0CE8F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F86276"/>
    <w:multiLevelType w:val="multilevel"/>
    <w:tmpl w:val="0BF4D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8D67DC"/>
    <w:multiLevelType w:val="multilevel"/>
    <w:tmpl w:val="55A29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866512"/>
    <w:multiLevelType w:val="multilevel"/>
    <w:tmpl w:val="638C5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634C7"/>
    <w:rsid w:val="001C1CA4"/>
    <w:rsid w:val="003069C3"/>
    <w:rsid w:val="00404932"/>
    <w:rsid w:val="00405B19"/>
    <w:rsid w:val="009634C7"/>
    <w:rsid w:val="00970B1B"/>
    <w:rsid w:val="00EE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pacing w:line="259"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Колонтитул"/>
    <w:basedOn w:val="a"/>
    <w:link w:val="a4"/>
    <w:pPr>
      <w:spacing w:line="257"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pacing w:line="259"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Колонтитул"/>
    <w:basedOn w:val="a"/>
    <w:link w:val="a4"/>
    <w:pPr>
      <w:spacing w:line="257"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cp:lastModifiedBy>Дума</cp:lastModifiedBy>
  <cp:revision>5</cp:revision>
  <dcterms:created xsi:type="dcterms:W3CDTF">2024-04-08T03:59:00Z</dcterms:created>
  <dcterms:modified xsi:type="dcterms:W3CDTF">2025-04-28T10:55:00Z</dcterms:modified>
</cp:coreProperties>
</file>